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537C2" w14:textId="618FCBC7" w:rsidR="007B55D9" w:rsidRPr="00B61373" w:rsidRDefault="00B85ECC" w:rsidP="00496D3F">
      <w:pPr>
        <w:pStyle w:val="Title"/>
        <w:rPr>
          <w:rFonts w:eastAsia="Times New Roman"/>
          <w:lang w:eastAsia="en-AU"/>
        </w:rPr>
      </w:pPr>
      <w:r>
        <w:rPr>
          <w:rFonts w:eastAsia="Times New Roman"/>
          <w:lang w:eastAsia="en-AU"/>
        </w:rPr>
        <w:t>R&amp;D</w:t>
      </w:r>
      <w:r w:rsidR="007B55D9" w:rsidRPr="00B61373">
        <w:rPr>
          <w:rFonts w:eastAsia="Times New Roman"/>
          <w:lang w:eastAsia="en-AU"/>
        </w:rPr>
        <w:t xml:space="preserve"> for </w:t>
      </w:r>
      <w:r>
        <w:rPr>
          <w:rFonts w:eastAsia="Times New Roman"/>
          <w:lang w:eastAsia="en-AU"/>
        </w:rPr>
        <w:t>H</w:t>
      </w:r>
      <w:r w:rsidR="00B809DA">
        <w:rPr>
          <w:rFonts w:eastAsia="Times New Roman"/>
          <w:lang w:eastAsia="en-AU"/>
        </w:rPr>
        <w:t xml:space="preserve">igh </w:t>
      </w:r>
      <w:r>
        <w:rPr>
          <w:rFonts w:eastAsia="Times New Roman"/>
          <w:lang w:eastAsia="en-AU"/>
        </w:rPr>
        <w:t>C</w:t>
      </w:r>
      <w:r w:rsidR="00B809DA">
        <w:rPr>
          <w:rFonts w:eastAsia="Times New Roman"/>
          <w:lang w:eastAsia="en-AU"/>
        </w:rPr>
        <w:t>ourt</w:t>
      </w:r>
      <w:r>
        <w:rPr>
          <w:rFonts w:eastAsia="Times New Roman"/>
          <w:lang w:eastAsia="en-AU"/>
        </w:rPr>
        <w:t xml:space="preserve"> A</w:t>
      </w:r>
      <w:r w:rsidR="007B55D9" w:rsidRPr="00B61373">
        <w:rPr>
          <w:rFonts w:eastAsia="Times New Roman"/>
          <w:lang w:eastAsia="en-AU"/>
        </w:rPr>
        <w:t>pplication</w:t>
      </w:r>
    </w:p>
    <w:p w14:paraId="0CB28675" w14:textId="77777777" w:rsidR="00087587" w:rsidRPr="00B61373" w:rsidRDefault="00087587" w:rsidP="006237BF">
      <w:pPr>
        <w:rPr>
          <w:rFonts w:cs="Arial"/>
          <w:lang w:eastAsia="en-AU"/>
        </w:rPr>
      </w:pPr>
    </w:p>
    <w:p w14:paraId="555BB127" w14:textId="522F4FF8" w:rsidR="006237BF" w:rsidRDefault="006237BF" w:rsidP="006237BF">
      <w:pPr>
        <w:jc w:val="right"/>
        <w:rPr>
          <w:rFonts w:cs="Arial"/>
          <w:lang w:eastAsia="en-AU"/>
        </w:rPr>
      </w:pPr>
      <w:r w:rsidRPr="00B61373">
        <w:rPr>
          <w:rFonts w:cs="Arial"/>
          <w:lang w:eastAsia="en-AU"/>
        </w:rPr>
        <w:t>28 March 2023 from 07h00</w:t>
      </w:r>
    </w:p>
    <w:p w14:paraId="7C1BCAEF" w14:textId="77777777" w:rsidR="003133E6" w:rsidRDefault="003133E6" w:rsidP="006237BF">
      <w:pPr>
        <w:jc w:val="right"/>
        <w:rPr>
          <w:rFonts w:cs="Arial"/>
          <w:lang w:eastAsia="en-AU"/>
        </w:rPr>
      </w:pPr>
    </w:p>
    <w:sdt>
      <w:sdtPr>
        <w:rPr>
          <w:rFonts w:ascii="Arial" w:eastAsiaTheme="minorHAnsi" w:hAnsi="Arial" w:cstheme="minorBidi"/>
          <w:color w:val="auto"/>
          <w:sz w:val="24"/>
          <w:szCs w:val="22"/>
          <w:lang w:val="en-AU"/>
        </w:rPr>
        <w:id w:val="-644505683"/>
        <w:docPartObj>
          <w:docPartGallery w:val="Table of Contents"/>
          <w:docPartUnique/>
        </w:docPartObj>
      </w:sdtPr>
      <w:sdtEndPr>
        <w:rPr>
          <w:b/>
          <w:bCs/>
          <w:noProof/>
        </w:rPr>
      </w:sdtEndPr>
      <w:sdtContent>
        <w:p w14:paraId="44DA32D3" w14:textId="0478EA4E" w:rsidR="003133E6" w:rsidRDefault="003133E6" w:rsidP="003133E6">
          <w:pPr>
            <w:pStyle w:val="TOCHeading"/>
            <w:jc w:val="center"/>
            <w:rPr>
              <w:b/>
              <w:bCs/>
            </w:rPr>
          </w:pPr>
          <w:r w:rsidRPr="003133E6">
            <w:rPr>
              <w:b/>
              <w:bCs/>
            </w:rPr>
            <w:t>Table of Contents</w:t>
          </w:r>
        </w:p>
        <w:p w14:paraId="2DC16D15" w14:textId="77777777" w:rsidR="003133E6" w:rsidRPr="003133E6" w:rsidRDefault="003133E6" w:rsidP="003133E6">
          <w:pPr>
            <w:rPr>
              <w:lang w:val="en-US"/>
            </w:rPr>
          </w:pPr>
        </w:p>
        <w:p w14:paraId="3A523BB9" w14:textId="6C1610F6" w:rsidR="00BC349B" w:rsidRDefault="003133E6">
          <w:pPr>
            <w:pStyle w:val="TOC1"/>
            <w:rPr>
              <w:rFonts w:asciiTheme="minorHAnsi" w:eastAsiaTheme="minorEastAsia" w:hAnsiTheme="minorHAnsi"/>
              <w:b w:val="0"/>
              <w:bCs w:val="0"/>
              <w:sz w:val="22"/>
              <w:lang w:val="en-AU" w:eastAsia="en-AU"/>
            </w:rPr>
          </w:pPr>
          <w:r>
            <w:rPr>
              <w:rFonts w:eastAsia="Times New Roman" w:cs="Arial"/>
              <w:lang w:eastAsia="en-AU"/>
            </w:rPr>
            <w:fldChar w:fldCharType="begin"/>
          </w:r>
          <w:r>
            <w:instrText xml:space="preserve"> TOC \o "1-4" \h \z \u </w:instrText>
          </w:r>
          <w:r>
            <w:rPr>
              <w:rFonts w:eastAsia="Times New Roman" w:cs="Arial"/>
              <w:lang w:eastAsia="en-AU"/>
            </w:rPr>
            <w:fldChar w:fldCharType="separate"/>
          </w:r>
          <w:hyperlink w:anchor="_Toc131144592" w:history="1">
            <w:r w:rsidR="00BC349B" w:rsidRPr="002B6C02">
              <w:rPr>
                <w:rStyle w:val="Hyperlink"/>
                <w:lang w:eastAsia="en-AU"/>
              </w:rPr>
              <w:t>Draft Application</w:t>
            </w:r>
            <w:r w:rsidR="00BC349B">
              <w:rPr>
                <w:webHidden/>
              </w:rPr>
              <w:tab/>
            </w:r>
            <w:r w:rsidR="00BC349B">
              <w:rPr>
                <w:webHidden/>
              </w:rPr>
              <w:fldChar w:fldCharType="begin"/>
            </w:r>
            <w:r w:rsidR="00BC349B">
              <w:rPr>
                <w:webHidden/>
              </w:rPr>
              <w:instrText xml:space="preserve"> PAGEREF _Toc131144592 \h </w:instrText>
            </w:r>
            <w:r w:rsidR="00BC349B">
              <w:rPr>
                <w:webHidden/>
              </w:rPr>
            </w:r>
            <w:r w:rsidR="00BC349B">
              <w:rPr>
                <w:webHidden/>
              </w:rPr>
              <w:fldChar w:fldCharType="separate"/>
            </w:r>
            <w:r w:rsidR="00BC349B">
              <w:rPr>
                <w:webHidden/>
              </w:rPr>
              <w:t>8</w:t>
            </w:r>
            <w:r w:rsidR="00BC349B">
              <w:rPr>
                <w:webHidden/>
              </w:rPr>
              <w:fldChar w:fldCharType="end"/>
            </w:r>
          </w:hyperlink>
        </w:p>
        <w:p w14:paraId="7FC9F275" w14:textId="78701FF5" w:rsidR="00BC349B" w:rsidRDefault="00000000">
          <w:pPr>
            <w:pStyle w:val="TOC1"/>
            <w:rPr>
              <w:rFonts w:asciiTheme="minorHAnsi" w:eastAsiaTheme="minorEastAsia" w:hAnsiTheme="minorHAnsi"/>
              <w:b w:val="0"/>
              <w:bCs w:val="0"/>
              <w:sz w:val="22"/>
              <w:lang w:val="en-AU" w:eastAsia="en-AU"/>
            </w:rPr>
          </w:pPr>
          <w:hyperlink w:anchor="_Toc131144593" w:history="1">
            <w:r w:rsidR="00BC349B" w:rsidRPr="002B6C02">
              <w:rPr>
                <w:rStyle w:val="Hyperlink"/>
                <w:lang w:eastAsia="en-AU"/>
              </w:rPr>
              <w:t>Research and development</w:t>
            </w:r>
            <w:r w:rsidR="00BC349B">
              <w:rPr>
                <w:webHidden/>
              </w:rPr>
              <w:tab/>
            </w:r>
            <w:r w:rsidR="00BC349B">
              <w:rPr>
                <w:webHidden/>
              </w:rPr>
              <w:fldChar w:fldCharType="begin"/>
            </w:r>
            <w:r w:rsidR="00BC349B">
              <w:rPr>
                <w:webHidden/>
              </w:rPr>
              <w:instrText xml:space="preserve"> PAGEREF _Toc131144593 \h </w:instrText>
            </w:r>
            <w:r w:rsidR="00BC349B">
              <w:rPr>
                <w:webHidden/>
              </w:rPr>
            </w:r>
            <w:r w:rsidR="00BC349B">
              <w:rPr>
                <w:webHidden/>
              </w:rPr>
              <w:fldChar w:fldCharType="separate"/>
            </w:r>
            <w:r w:rsidR="00BC349B">
              <w:rPr>
                <w:webHidden/>
              </w:rPr>
              <w:t>9</w:t>
            </w:r>
            <w:r w:rsidR="00BC349B">
              <w:rPr>
                <w:webHidden/>
              </w:rPr>
              <w:fldChar w:fldCharType="end"/>
            </w:r>
          </w:hyperlink>
        </w:p>
        <w:p w14:paraId="016772EF" w14:textId="54CF39DC" w:rsidR="00BC349B" w:rsidRDefault="00000000">
          <w:pPr>
            <w:pStyle w:val="TOC3"/>
            <w:rPr>
              <w:rFonts w:asciiTheme="minorHAnsi" w:eastAsiaTheme="minorEastAsia" w:hAnsiTheme="minorHAnsi" w:cstheme="minorBidi"/>
              <w:b w:val="0"/>
              <w:bCs w:val="0"/>
              <w:sz w:val="22"/>
            </w:rPr>
          </w:pPr>
          <w:hyperlink w:anchor="_Toc131144594" w:history="1">
            <w:r w:rsidR="00BC349B" w:rsidRPr="002B6C02">
              <w:rPr>
                <w:rStyle w:val="Hyperlink"/>
              </w:rPr>
              <w:t>Appropriate forum</w:t>
            </w:r>
            <w:r w:rsidR="00BC349B">
              <w:rPr>
                <w:webHidden/>
              </w:rPr>
              <w:tab/>
            </w:r>
            <w:r w:rsidR="00BC349B">
              <w:rPr>
                <w:webHidden/>
              </w:rPr>
              <w:fldChar w:fldCharType="begin"/>
            </w:r>
            <w:r w:rsidR="00BC349B">
              <w:rPr>
                <w:webHidden/>
              </w:rPr>
              <w:instrText xml:space="preserve"> PAGEREF _Toc131144594 \h </w:instrText>
            </w:r>
            <w:r w:rsidR="00BC349B">
              <w:rPr>
                <w:webHidden/>
              </w:rPr>
            </w:r>
            <w:r w:rsidR="00BC349B">
              <w:rPr>
                <w:webHidden/>
              </w:rPr>
              <w:fldChar w:fldCharType="separate"/>
            </w:r>
            <w:r w:rsidR="00BC349B">
              <w:rPr>
                <w:webHidden/>
              </w:rPr>
              <w:t>9</w:t>
            </w:r>
            <w:r w:rsidR="00BC349B">
              <w:rPr>
                <w:webHidden/>
              </w:rPr>
              <w:fldChar w:fldCharType="end"/>
            </w:r>
          </w:hyperlink>
        </w:p>
        <w:p w14:paraId="78B0FB2F" w14:textId="647DCE60" w:rsidR="00BC349B" w:rsidRDefault="00000000">
          <w:pPr>
            <w:pStyle w:val="TOC4"/>
            <w:tabs>
              <w:tab w:val="right" w:leader="dot" w:pos="9200"/>
            </w:tabs>
            <w:rPr>
              <w:rFonts w:asciiTheme="minorHAnsi" w:eastAsiaTheme="minorEastAsia" w:hAnsiTheme="minorHAnsi"/>
              <w:noProof/>
              <w:sz w:val="22"/>
              <w:lang w:eastAsia="en-AU"/>
            </w:rPr>
          </w:pPr>
          <w:hyperlink w:anchor="_Toc131144595" w:history="1">
            <w:r w:rsidR="00BC349B" w:rsidRPr="002B6C02">
              <w:rPr>
                <w:rStyle w:val="Hyperlink"/>
                <w:rFonts w:eastAsia="Times New Roman" w:cs="Arial"/>
                <w:noProof/>
                <w:lang w:eastAsia="en-AU"/>
              </w:rPr>
              <w:t>Which is the best court of law to approach in Australia if one needs protection against violations of human rights by organs of state?</w:t>
            </w:r>
            <w:r w:rsidR="00BC349B">
              <w:rPr>
                <w:noProof/>
                <w:webHidden/>
              </w:rPr>
              <w:tab/>
            </w:r>
            <w:r w:rsidR="00BC349B">
              <w:rPr>
                <w:noProof/>
                <w:webHidden/>
              </w:rPr>
              <w:fldChar w:fldCharType="begin"/>
            </w:r>
            <w:r w:rsidR="00BC349B">
              <w:rPr>
                <w:noProof/>
                <w:webHidden/>
              </w:rPr>
              <w:instrText xml:space="preserve"> PAGEREF _Toc131144595 \h </w:instrText>
            </w:r>
            <w:r w:rsidR="00BC349B">
              <w:rPr>
                <w:noProof/>
                <w:webHidden/>
              </w:rPr>
            </w:r>
            <w:r w:rsidR="00BC349B">
              <w:rPr>
                <w:noProof/>
                <w:webHidden/>
              </w:rPr>
              <w:fldChar w:fldCharType="separate"/>
            </w:r>
            <w:r w:rsidR="00BC349B">
              <w:rPr>
                <w:noProof/>
                <w:webHidden/>
              </w:rPr>
              <w:t>9</w:t>
            </w:r>
            <w:r w:rsidR="00BC349B">
              <w:rPr>
                <w:noProof/>
                <w:webHidden/>
              </w:rPr>
              <w:fldChar w:fldCharType="end"/>
            </w:r>
          </w:hyperlink>
        </w:p>
        <w:p w14:paraId="38A13B67" w14:textId="7DA5D08A" w:rsidR="00BC349B" w:rsidRDefault="00000000">
          <w:pPr>
            <w:pStyle w:val="TOC4"/>
            <w:tabs>
              <w:tab w:val="right" w:leader="dot" w:pos="9200"/>
            </w:tabs>
            <w:rPr>
              <w:rFonts w:asciiTheme="minorHAnsi" w:eastAsiaTheme="minorEastAsia" w:hAnsiTheme="minorHAnsi"/>
              <w:noProof/>
              <w:sz w:val="22"/>
              <w:lang w:eastAsia="en-AU"/>
            </w:rPr>
          </w:pPr>
          <w:hyperlink w:anchor="_Toc131144596" w:history="1">
            <w:r w:rsidR="00BC349B" w:rsidRPr="002B6C02">
              <w:rPr>
                <w:rStyle w:val="Hyperlink"/>
                <w:rFonts w:eastAsia="Times New Roman" w:cs="Arial"/>
                <w:noProof/>
                <w:lang w:eastAsia="en-AU"/>
              </w:rPr>
              <w:t>In Australian law, has there ever been an interlocutory application to the judge president of the court to appoint a judge that has no predisposition, conflict of interest, or other impediment to impartiality on aspects of an application?</w:t>
            </w:r>
            <w:r w:rsidR="00BC349B">
              <w:rPr>
                <w:noProof/>
                <w:webHidden/>
              </w:rPr>
              <w:tab/>
            </w:r>
            <w:r w:rsidR="00BC349B">
              <w:rPr>
                <w:noProof/>
                <w:webHidden/>
              </w:rPr>
              <w:fldChar w:fldCharType="begin"/>
            </w:r>
            <w:r w:rsidR="00BC349B">
              <w:rPr>
                <w:noProof/>
                <w:webHidden/>
              </w:rPr>
              <w:instrText xml:space="preserve"> PAGEREF _Toc131144596 \h </w:instrText>
            </w:r>
            <w:r w:rsidR="00BC349B">
              <w:rPr>
                <w:noProof/>
                <w:webHidden/>
              </w:rPr>
            </w:r>
            <w:r w:rsidR="00BC349B">
              <w:rPr>
                <w:noProof/>
                <w:webHidden/>
              </w:rPr>
              <w:fldChar w:fldCharType="separate"/>
            </w:r>
            <w:r w:rsidR="00BC349B">
              <w:rPr>
                <w:noProof/>
                <w:webHidden/>
              </w:rPr>
              <w:t>9</w:t>
            </w:r>
            <w:r w:rsidR="00BC349B">
              <w:rPr>
                <w:noProof/>
                <w:webHidden/>
              </w:rPr>
              <w:fldChar w:fldCharType="end"/>
            </w:r>
          </w:hyperlink>
        </w:p>
        <w:p w14:paraId="1C70B111" w14:textId="36BF4871" w:rsidR="00BC349B" w:rsidRDefault="00000000">
          <w:pPr>
            <w:pStyle w:val="TOC4"/>
            <w:tabs>
              <w:tab w:val="right" w:leader="dot" w:pos="9200"/>
            </w:tabs>
            <w:rPr>
              <w:rFonts w:asciiTheme="minorHAnsi" w:eastAsiaTheme="minorEastAsia" w:hAnsiTheme="minorHAnsi"/>
              <w:noProof/>
              <w:sz w:val="22"/>
              <w:lang w:eastAsia="en-AU"/>
            </w:rPr>
          </w:pPr>
          <w:hyperlink w:anchor="_Toc131144597" w:history="1">
            <w:r w:rsidR="00BC349B" w:rsidRPr="002B6C02">
              <w:rPr>
                <w:rStyle w:val="Hyperlink"/>
                <w:rFonts w:eastAsia="Times New Roman" w:cs="Arial"/>
                <w:noProof/>
                <w:lang w:eastAsia="en-AU"/>
              </w:rPr>
              <w:t>Has there ever been a finding by an Australian court of law that a magistrate or judge had a predisposition, conflict of interest, or other impediment to impartiality on aspects of an application, action or prosecution?</w:t>
            </w:r>
            <w:r w:rsidR="00BC349B">
              <w:rPr>
                <w:noProof/>
                <w:webHidden/>
              </w:rPr>
              <w:tab/>
            </w:r>
            <w:r w:rsidR="00BC349B">
              <w:rPr>
                <w:noProof/>
                <w:webHidden/>
              </w:rPr>
              <w:fldChar w:fldCharType="begin"/>
            </w:r>
            <w:r w:rsidR="00BC349B">
              <w:rPr>
                <w:noProof/>
                <w:webHidden/>
              </w:rPr>
              <w:instrText xml:space="preserve"> PAGEREF _Toc131144597 \h </w:instrText>
            </w:r>
            <w:r w:rsidR="00BC349B">
              <w:rPr>
                <w:noProof/>
                <w:webHidden/>
              </w:rPr>
            </w:r>
            <w:r w:rsidR="00BC349B">
              <w:rPr>
                <w:noProof/>
                <w:webHidden/>
              </w:rPr>
              <w:fldChar w:fldCharType="separate"/>
            </w:r>
            <w:r w:rsidR="00BC349B">
              <w:rPr>
                <w:noProof/>
                <w:webHidden/>
              </w:rPr>
              <w:t>10</w:t>
            </w:r>
            <w:r w:rsidR="00BC349B">
              <w:rPr>
                <w:noProof/>
                <w:webHidden/>
              </w:rPr>
              <w:fldChar w:fldCharType="end"/>
            </w:r>
          </w:hyperlink>
        </w:p>
        <w:p w14:paraId="2A459A11" w14:textId="493F7815" w:rsidR="00BC349B" w:rsidRDefault="00000000">
          <w:pPr>
            <w:pStyle w:val="TOC4"/>
            <w:tabs>
              <w:tab w:val="right" w:leader="dot" w:pos="9200"/>
            </w:tabs>
            <w:rPr>
              <w:rFonts w:asciiTheme="minorHAnsi" w:eastAsiaTheme="minorEastAsia" w:hAnsiTheme="minorHAnsi"/>
              <w:noProof/>
              <w:sz w:val="22"/>
              <w:lang w:eastAsia="en-AU"/>
            </w:rPr>
          </w:pPr>
          <w:hyperlink w:anchor="_Toc131144598" w:history="1">
            <w:r w:rsidR="00BC349B" w:rsidRPr="002B6C02">
              <w:rPr>
                <w:rStyle w:val="Hyperlink"/>
                <w:rFonts w:eastAsia="Times New Roman" w:cs="Arial"/>
                <w:noProof/>
                <w:lang w:eastAsia="en-AU"/>
              </w:rPr>
              <w:t>Has there ever been a finding by an Australian court of law that a court of law, tribunal, regulatory or administrative procedure was conducted on partisan territory or a partisan forum?</w:t>
            </w:r>
            <w:r w:rsidR="00BC349B">
              <w:rPr>
                <w:noProof/>
                <w:webHidden/>
              </w:rPr>
              <w:tab/>
            </w:r>
            <w:r w:rsidR="00BC349B">
              <w:rPr>
                <w:noProof/>
                <w:webHidden/>
              </w:rPr>
              <w:fldChar w:fldCharType="begin"/>
            </w:r>
            <w:r w:rsidR="00BC349B">
              <w:rPr>
                <w:noProof/>
                <w:webHidden/>
              </w:rPr>
              <w:instrText xml:space="preserve"> PAGEREF _Toc131144598 \h </w:instrText>
            </w:r>
            <w:r w:rsidR="00BC349B">
              <w:rPr>
                <w:noProof/>
                <w:webHidden/>
              </w:rPr>
            </w:r>
            <w:r w:rsidR="00BC349B">
              <w:rPr>
                <w:noProof/>
                <w:webHidden/>
              </w:rPr>
              <w:fldChar w:fldCharType="separate"/>
            </w:r>
            <w:r w:rsidR="00BC349B">
              <w:rPr>
                <w:noProof/>
                <w:webHidden/>
              </w:rPr>
              <w:t>10</w:t>
            </w:r>
            <w:r w:rsidR="00BC349B">
              <w:rPr>
                <w:noProof/>
                <w:webHidden/>
              </w:rPr>
              <w:fldChar w:fldCharType="end"/>
            </w:r>
          </w:hyperlink>
        </w:p>
        <w:p w14:paraId="4B343D31" w14:textId="374C7BB9" w:rsidR="00BC349B" w:rsidRDefault="00000000">
          <w:pPr>
            <w:pStyle w:val="TOC3"/>
            <w:rPr>
              <w:rFonts w:asciiTheme="minorHAnsi" w:eastAsiaTheme="minorEastAsia" w:hAnsiTheme="minorHAnsi" w:cstheme="minorBidi"/>
              <w:b w:val="0"/>
              <w:bCs w:val="0"/>
              <w:sz w:val="22"/>
            </w:rPr>
          </w:pPr>
          <w:hyperlink w:anchor="_Toc131144599" w:history="1">
            <w:r w:rsidR="00BC349B" w:rsidRPr="002B6C02">
              <w:rPr>
                <w:rStyle w:val="Hyperlink"/>
              </w:rPr>
              <w:t>Actio popularis</w:t>
            </w:r>
            <w:r w:rsidR="00BC349B">
              <w:rPr>
                <w:webHidden/>
              </w:rPr>
              <w:tab/>
            </w:r>
            <w:r w:rsidR="00BC349B">
              <w:rPr>
                <w:webHidden/>
              </w:rPr>
              <w:fldChar w:fldCharType="begin"/>
            </w:r>
            <w:r w:rsidR="00BC349B">
              <w:rPr>
                <w:webHidden/>
              </w:rPr>
              <w:instrText xml:space="preserve"> PAGEREF _Toc131144599 \h </w:instrText>
            </w:r>
            <w:r w:rsidR="00BC349B">
              <w:rPr>
                <w:webHidden/>
              </w:rPr>
            </w:r>
            <w:r w:rsidR="00BC349B">
              <w:rPr>
                <w:webHidden/>
              </w:rPr>
              <w:fldChar w:fldCharType="separate"/>
            </w:r>
            <w:r w:rsidR="00BC349B">
              <w:rPr>
                <w:webHidden/>
              </w:rPr>
              <w:t>11</w:t>
            </w:r>
            <w:r w:rsidR="00BC349B">
              <w:rPr>
                <w:webHidden/>
              </w:rPr>
              <w:fldChar w:fldCharType="end"/>
            </w:r>
          </w:hyperlink>
        </w:p>
        <w:p w14:paraId="2E1C516D" w14:textId="22FE549D" w:rsidR="00BC349B" w:rsidRDefault="00000000">
          <w:pPr>
            <w:pStyle w:val="TOC4"/>
            <w:tabs>
              <w:tab w:val="right" w:leader="dot" w:pos="9200"/>
            </w:tabs>
            <w:rPr>
              <w:rFonts w:asciiTheme="minorHAnsi" w:eastAsiaTheme="minorEastAsia" w:hAnsiTheme="minorHAnsi"/>
              <w:noProof/>
              <w:sz w:val="22"/>
              <w:lang w:eastAsia="en-AU"/>
            </w:rPr>
          </w:pPr>
          <w:hyperlink w:anchor="_Toc131144600" w:history="1">
            <w:r w:rsidR="00BC349B" w:rsidRPr="002B6C02">
              <w:rPr>
                <w:rStyle w:val="Hyperlink"/>
                <w:rFonts w:eastAsia="Times New Roman" w:cs="Arial"/>
                <w:noProof/>
                <w:lang w:eastAsia="en-AU"/>
              </w:rPr>
              <w:t>Have any cases been brought before the Australian courts in the context of actio popularis and in the public interest for relief against fundamental rights abuses of a group or class of persons?</w:t>
            </w:r>
            <w:r w:rsidR="00BC349B">
              <w:rPr>
                <w:noProof/>
                <w:webHidden/>
              </w:rPr>
              <w:tab/>
            </w:r>
            <w:r w:rsidR="00BC349B">
              <w:rPr>
                <w:noProof/>
                <w:webHidden/>
              </w:rPr>
              <w:fldChar w:fldCharType="begin"/>
            </w:r>
            <w:r w:rsidR="00BC349B">
              <w:rPr>
                <w:noProof/>
                <w:webHidden/>
              </w:rPr>
              <w:instrText xml:space="preserve"> PAGEREF _Toc131144600 \h </w:instrText>
            </w:r>
            <w:r w:rsidR="00BC349B">
              <w:rPr>
                <w:noProof/>
                <w:webHidden/>
              </w:rPr>
            </w:r>
            <w:r w:rsidR="00BC349B">
              <w:rPr>
                <w:noProof/>
                <w:webHidden/>
              </w:rPr>
              <w:fldChar w:fldCharType="separate"/>
            </w:r>
            <w:r w:rsidR="00BC349B">
              <w:rPr>
                <w:noProof/>
                <w:webHidden/>
              </w:rPr>
              <w:t>11</w:t>
            </w:r>
            <w:r w:rsidR="00BC349B">
              <w:rPr>
                <w:noProof/>
                <w:webHidden/>
              </w:rPr>
              <w:fldChar w:fldCharType="end"/>
            </w:r>
          </w:hyperlink>
        </w:p>
        <w:p w14:paraId="0F6C8729" w14:textId="45C9A906" w:rsidR="00BC349B" w:rsidRDefault="00000000">
          <w:pPr>
            <w:pStyle w:val="TOC4"/>
            <w:tabs>
              <w:tab w:val="right" w:leader="dot" w:pos="9200"/>
            </w:tabs>
            <w:rPr>
              <w:rFonts w:asciiTheme="minorHAnsi" w:eastAsiaTheme="minorEastAsia" w:hAnsiTheme="minorHAnsi"/>
              <w:noProof/>
              <w:sz w:val="22"/>
              <w:lang w:eastAsia="en-AU"/>
            </w:rPr>
          </w:pPr>
          <w:hyperlink w:anchor="_Toc131144601" w:history="1">
            <w:r w:rsidR="00BC349B" w:rsidRPr="002B6C02">
              <w:rPr>
                <w:rStyle w:val="Hyperlink"/>
                <w:rFonts w:eastAsia="Times New Roman" w:cs="Arial"/>
                <w:noProof/>
                <w:lang w:eastAsia="en-AU"/>
              </w:rPr>
              <w:t>What is the best procedure to adopt under Australian law to obtain relief against fundament rights abuses by administrative bodies or organs of state against a group, class or demographic of the public or society at large?</w:t>
            </w:r>
            <w:r w:rsidR="00BC349B">
              <w:rPr>
                <w:noProof/>
                <w:webHidden/>
              </w:rPr>
              <w:tab/>
            </w:r>
            <w:r w:rsidR="00BC349B">
              <w:rPr>
                <w:noProof/>
                <w:webHidden/>
              </w:rPr>
              <w:fldChar w:fldCharType="begin"/>
            </w:r>
            <w:r w:rsidR="00BC349B">
              <w:rPr>
                <w:noProof/>
                <w:webHidden/>
              </w:rPr>
              <w:instrText xml:space="preserve"> PAGEREF _Toc131144601 \h </w:instrText>
            </w:r>
            <w:r w:rsidR="00BC349B">
              <w:rPr>
                <w:noProof/>
                <w:webHidden/>
              </w:rPr>
            </w:r>
            <w:r w:rsidR="00BC349B">
              <w:rPr>
                <w:noProof/>
                <w:webHidden/>
              </w:rPr>
              <w:fldChar w:fldCharType="separate"/>
            </w:r>
            <w:r w:rsidR="00BC349B">
              <w:rPr>
                <w:noProof/>
                <w:webHidden/>
              </w:rPr>
              <w:t>11</w:t>
            </w:r>
            <w:r w:rsidR="00BC349B">
              <w:rPr>
                <w:noProof/>
                <w:webHidden/>
              </w:rPr>
              <w:fldChar w:fldCharType="end"/>
            </w:r>
          </w:hyperlink>
        </w:p>
        <w:p w14:paraId="5189EB16" w14:textId="3D3127CB" w:rsidR="00BC349B" w:rsidRDefault="00000000">
          <w:pPr>
            <w:pStyle w:val="TOC4"/>
            <w:tabs>
              <w:tab w:val="right" w:leader="dot" w:pos="9200"/>
            </w:tabs>
            <w:rPr>
              <w:rFonts w:asciiTheme="minorHAnsi" w:eastAsiaTheme="minorEastAsia" w:hAnsiTheme="minorHAnsi"/>
              <w:noProof/>
              <w:sz w:val="22"/>
              <w:lang w:eastAsia="en-AU"/>
            </w:rPr>
          </w:pPr>
          <w:hyperlink w:anchor="_Toc131144602" w:history="1">
            <w:r w:rsidR="00BC349B" w:rsidRPr="002B6C02">
              <w:rPr>
                <w:rStyle w:val="Hyperlink"/>
                <w:rFonts w:eastAsia="Times New Roman" w:cs="Arial"/>
                <w:noProof/>
                <w:lang w:eastAsia="en-AU"/>
              </w:rPr>
              <w:t>To what extent does Australian law recognise and enforce the Helsinki Accord, UN fundamental rights treaties and instruments, the Nuremberg Code and others, and findings of the ICC?</w:t>
            </w:r>
            <w:r w:rsidR="00BC349B">
              <w:rPr>
                <w:noProof/>
                <w:webHidden/>
              </w:rPr>
              <w:tab/>
            </w:r>
            <w:r w:rsidR="00BC349B">
              <w:rPr>
                <w:noProof/>
                <w:webHidden/>
              </w:rPr>
              <w:fldChar w:fldCharType="begin"/>
            </w:r>
            <w:r w:rsidR="00BC349B">
              <w:rPr>
                <w:noProof/>
                <w:webHidden/>
              </w:rPr>
              <w:instrText xml:space="preserve"> PAGEREF _Toc131144602 \h </w:instrText>
            </w:r>
            <w:r w:rsidR="00BC349B">
              <w:rPr>
                <w:noProof/>
                <w:webHidden/>
              </w:rPr>
            </w:r>
            <w:r w:rsidR="00BC349B">
              <w:rPr>
                <w:noProof/>
                <w:webHidden/>
              </w:rPr>
              <w:fldChar w:fldCharType="separate"/>
            </w:r>
            <w:r w:rsidR="00BC349B">
              <w:rPr>
                <w:noProof/>
                <w:webHidden/>
              </w:rPr>
              <w:t>12</w:t>
            </w:r>
            <w:r w:rsidR="00BC349B">
              <w:rPr>
                <w:noProof/>
                <w:webHidden/>
              </w:rPr>
              <w:fldChar w:fldCharType="end"/>
            </w:r>
          </w:hyperlink>
        </w:p>
        <w:p w14:paraId="330C97DD" w14:textId="50FE0462" w:rsidR="00BC349B" w:rsidRDefault="00000000">
          <w:pPr>
            <w:pStyle w:val="TOC4"/>
            <w:tabs>
              <w:tab w:val="right" w:leader="dot" w:pos="9200"/>
            </w:tabs>
            <w:rPr>
              <w:rFonts w:asciiTheme="minorHAnsi" w:eastAsiaTheme="minorEastAsia" w:hAnsiTheme="minorHAnsi"/>
              <w:noProof/>
              <w:sz w:val="22"/>
              <w:lang w:eastAsia="en-AU"/>
            </w:rPr>
          </w:pPr>
          <w:hyperlink w:anchor="_Toc131144603" w:history="1">
            <w:r w:rsidR="00BC349B" w:rsidRPr="002B6C02">
              <w:rPr>
                <w:rStyle w:val="Hyperlink"/>
                <w:rFonts w:eastAsia="Times New Roman" w:cs="Arial"/>
                <w:noProof/>
                <w:lang w:eastAsia="en-AU"/>
              </w:rPr>
              <w:t>Has Australia ever declared itself to be a secular state?</w:t>
            </w:r>
            <w:r w:rsidR="00BC349B">
              <w:rPr>
                <w:noProof/>
                <w:webHidden/>
              </w:rPr>
              <w:tab/>
            </w:r>
            <w:r w:rsidR="00BC349B">
              <w:rPr>
                <w:noProof/>
                <w:webHidden/>
              </w:rPr>
              <w:fldChar w:fldCharType="begin"/>
            </w:r>
            <w:r w:rsidR="00BC349B">
              <w:rPr>
                <w:noProof/>
                <w:webHidden/>
              </w:rPr>
              <w:instrText xml:space="preserve"> PAGEREF _Toc131144603 \h </w:instrText>
            </w:r>
            <w:r w:rsidR="00BC349B">
              <w:rPr>
                <w:noProof/>
                <w:webHidden/>
              </w:rPr>
            </w:r>
            <w:r w:rsidR="00BC349B">
              <w:rPr>
                <w:noProof/>
                <w:webHidden/>
              </w:rPr>
              <w:fldChar w:fldCharType="separate"/>
            </w:r>
            <w:r w:rsidR="00BC349B">
              <w:rPr>
                <w:noProof/>
                <w:webHidden/>
              </w:rPr>
              <w:t>13</w:t>
            </w:r>
            <w:r w:rsidR="00BC349B">
              <w:rPr>
                <w:noProof/>
                <w:webHidden/>
              </w:rPr>
              <w:fldChar w:fldCharType="end"/>
            </w:r>
          </w:hyperlink>
        </w:p>
        <w:p w14:paraId="052AD035" w14:textId="29212F79" w:rsidR="00BC349B" w:rsidRDefault="00000000">
          <w:pPr>
            <w:pStyle w:val="TOC3"/>
            <w:rPr>
              <w:rFonts w:asciiTheme="minorHAnsi" w:eastAsiaTheme="minorEastAsia" w:hAnsiTheme="minorHAnsi" w:cstheme="minorBidi"/>
              <w:b w:val="0"/>
              <w:bCs w:val="0"/>
              <w:sz w:val="22"/>
            </w:rPr>
          </w:pPr>
          <w:hyperlink w:anchor="_Toc131144604" w:history="1">
            <w:r w:rsidR="00BC349B" w:rsidRPr="002B6C02">
              <w:rPr>
                <w:rStyle w:val="Hyperlink"/>
              </w:rPr>
              <w:t>Relief – Australian law</w:t>
            </w:r>
            <w:r w:rsidR="00BC349B">
              <w:rPr>
                <w:webHidden/>
              </w:rPr>
              <w:tab/>
            </w:r>
            <w:r w:rsidR="00BC349B">
              <w:rPr>
                <w:webHidden/>
              </w:rPr>
              <w:fldChar w:fldCharType="begin"/>
            </w:r>
            <w:r w:rsidR="00BC349B">
              <w:rPr>
                <w:webHidden/>
              </w:rPr>
              <w:instrText xml:space="preserve"> PAGEREF _Toc131144604 \h </w:instrText>
            </w:r>
            <w:r w:rsidR="00BC349B">
              <w:rPr>
                <w:webHidden/>
              </w:rPr>
            </w:r>
            <w:r w:rsidR="00BC349B">
              <w:rPr>
                <w:webHidden/>
              </w:rPr>
              <w:fldChar w:fldCharType="separate"/>
            </w:r>
            <w:r w:rsidR="00BC349B">
              <w:rPr>
                <w:webHidden/>
              </w:rPr>
              <w:t>13</w:t>
            </w:r>
            <w:r w:rsidR="00BC349B">
              <w:rPr>
                <w:webHidden/>
              </w:rPr>
              <w:fldChar w:fldCharType="end"/>
            </w:r>
          </w:hyperlink>
        </w:p>
        <w:p w14:paraId="56822957" w14:textId="65BB0FF7" w:rsidR="00BC349B" w:rsidRDefault="00000000">
          <w:pPr>
            <w:pStyle w:val="TOC4"/>
            <w:tabs>
              <w:tab w:val="right" w:leader="dot" w:pos="9200"/>
            </w:tabs>
            <w:rPr>
              <w:rFonts w:asciiTheme="minorHAnsi" w:eastAsiaTheme="minorEastAsia" w:hAnsiTheme="minorHAnsi"/>
              <w:noProof/>
              <w:sz w:val="22"/>
              <w:lang w:eastAsia="en-AU"/>
            </w:rPr>
          </w:pPr>
          <w:hyperlink w:anchor="_Toc131144605" w:history="1">
            <w:r w:rsidR="00BC349B" w:rsidRPr="002B6C02">
              <w:rPr>
                <w:rStyle w:val="Hyperlink"/>
                <w:rFonts w:eastAsia="Times New Roman" w:cs="Arial"/>
                <w:noProof/>
                <w:lang w:eastAsia="en-AU"/>
              </w:rPr>
              <w:t>Are there examples of applications for relief against fundamental rights abused by administrative bodies and organs of state based on precedents and judgments in Australian law? If so, can you provide some examples?</w:t>
            </w:r>
            <w:r w:rsidR="00BC349B">
              <w:rPr>
                <w:noProof/>
                <w:webHidden/>
              </w:rPr>
              <w:tab/>
            </w:r>
            <w:r w:rsidR="00BC349B">
              <w:rPr>
                <w:noProof/>
                <w:webHidden/>
              </w:rPr>
              <w:fldChar w:fldCharType="begin"/>
            </w:r>
            <w:r w:rsidR="00BC349B">
              <w:rPr>
                <w:noProof/>
                <w:webHidden/>
              </w:rPr>
              <w:instrText xml:space="preserve"> PAGEREF _Toc131144605 \h </w:instrText>
            </w:r>
            <w:r w:rsidR="00BC349B">
              <w:rPr>
                <w:noProof/>
                <w:webHidden/>
              </w:rPr>
            </w:r>
            <w:r w:rsidR="00BC349B">
              <w:rPr>
                <w:noProof/>
                <w:webHidden/>
              </w:rPr>
              <w:fldChar w:fldCharType="separate"/>
            </w:r>
            <w:r w:rsidR="00BC349B">
              <w:rPr>
                <w:noProof/>
                <w:webHidden/>
              </w:rPr>
              <w:t>13</w:t>
            </w:r>
            <w:r w:rsidR="00BC349B">
              <w:rPr>
                <w:noProof/>
                <w:webHidden/>
              </w:rPr>
              <w:fldChar w:fldCharType="end"/>
            </w:r>
          </w:hyperlink>
        </w:p>
        <w:p w14:paraId="5A78CF43" w14:textId="13BF8080" w:rsidR="00BC349B" w:rsidRDefault="00000000">
          <w:pPr>
            <w:pStyle w:val="TOC3"/>
            <w:rPr>
              <w:rFonts w:asciiTheme="minorHAnsi" w:eastAsiaTheme="minorEastAsia" w:hAnsiTheme="minorHAnsi" w:cstheme="minorBidi"/>
              <w:b w:val="0"/>
              <w:bCs w:val="0"/>
              <w:sz w:val="22"/>
            </w:rPr>
          </w:pPr>
          <w:hyperlink w:anchor="_Toc131144606" w:history="1">
            <w:r w:rsidR="00BC349B" w:rsidRPr="002B6C02">
              <w:rPr>
                <w:rStyle w:val="Hyperlink"/>
              </w:rPr>
              <w:t>Rule Nisi</w:t>
            </w:r>
            <w:r w:rsidR="00BC349B">
              <w:rPr>
                <w:webHidden/>
              </w:rPr>
              <w:tab/>
            </w:r>
            <w:r w:rsidR="00BC349B">
              <w:rPr>
                <w:webHidden/>
              </w:rPr>
              <w:fldChar w:fldCharType="begin"/>
            </w:r>
            <w:r w:rsidR="00BC349B">
              <w:rPr>
                <w:webHidden/>
              </w:rPr>
              <w:instrText xml:space="preserve"> PAGEREF _Toc131144606 \h </w:instrText>
            </w:r>
            <w:r w:rsidR="00BC349B">
              <w:rPr>
                <w:webHidden/>
              </w:rPr>
            </w:r>
            <w:r w:rsidR="00BC349B">
              <w:rPr>
                <w:webHidden/>
              </w:rPr>
              <w:fldChar w:fldCharType="separate"/>
            </w:r>
            <w:r w:rsidR="00BC349B">
              <w:rPr>
                <w:webHidden/>
              </w:rPr>
              <w:t>14</w:t>
            </w:r>
            <w:r w:rsidR="00BC349B">
              <w:rPr>
                <w:webHidden/>
              </w:rPr>
              <w:fldChar w:fldCharType="end"/>
            </w:r>
          </w:hyperlink>
        </w:p>
        <w:p w14:paraId="67B42351" w14:textId="13F74645" w:rsidR="00BC349B" w:rsidRDefault="00000000">
          <w:pPr>
            <w:pStyle w:val="TOC4"/>
            <w:tabs>
              <w:tab w:val="right" w:leader="dot" w:pos="9200"/>
            </w:tabs>
            <w:rPr>
              <w:rFonts w:asciiTheme="minorHAnsi" w:eastAsiaTheme="minorEastAsia" w:hAnsiTheme="minorHAnsi"/>
              <w:noProof/>
              <w:sz w:val="22"/>
              <w:lang w:eastAsia="en-AU"/>
            </w:rPr>
          </w:pPr>
          <w:hyperlink w:anchor="_Toc131144607" w:history="1">
            <w:r w:rsidR="00BC349B" w:rsidRPr="002B6C02">
              <w:rPr>
                <w:rStyle w:val="Hyperlink"/>
                <w:rFonts w:eastAsia="Times New Roman" w:cs="Arial"/>
                <w:noProof/>
                <w:lang w:eastAsia="en-AU"/>
              </w:rPr>
              <w:t xml:space="preserve">Where there any applications for a rule nisi to ensue for the respondent to show cause why they should not be suspended from holding office or issuing any </w:t>
            </w:r>
            <w:r w:rsidR="00BC349B" w:rsidRPr="002B6C02">
              <w:rPr>
                <w:rStyle w:val="Hyperlink"/>
                <w:rFonts w:eastAsia="Times New Roman" w:cs="Arial"/>
                <w:noProof/>
                <w:lang w:eastAsia="en-AU"/>
              </w:rPr>
              <w:lastRenderedPageBreak/>
              <w:t>further directives until a finding or declaration of rights has been made by the court?</w:t>
            </w:r>
            <w:r w:rsidR="00BC349B">
              <w:rPr>
                <w:noProof/>
                <w:webHidden/>
              </w:rPr>
              <w:tab/>
            </w:r>
            <w:r w:rsidR="00BC349B">
              <w:rPr>
                <w:noProof/>
                <w:webHidden/>
              </w:rPr>
              <w:fldChar w:fldCharType="begin"/>
            </w:r>
            <w:r w:rsidR="00BC349B">
              <w:rPr>
                <w:noProof/>
                <w:webHidden/>
              </w:rPr>
              <w:instrText xml:space="preserve"> PAGEREF _Toc131144607 \h </w:instrText>
            </w:r>
            <w:r w:rsidR="00BC349B">
              <w:rPr>
                <w:noProof/>
                <w:webHidden/>
              </w:rPr>
            </w:r>
            <w:r w:rsidR="00BC349B">
              <w:rPr>
                <w:noProof/>
                <w:webHidden/>
              </w:rPr>
              <w:fldChar w:fldCharType="separate"/>
            </w:r>
            <w:r w:rsidR="00BC349B">
              <w:rPr>
                <w:noProof/>
                <w:webHidden/>
              </w:rPr>
              <w:t>14</w:t>
            </w:r>
            <w:r w:rsidR="00BC349B">
              <w:rPr>
                <w:noProof/>
                <w:webHidden/>
              </w:rPr>
              <w:fldChar w:fldCharType="end"/>
            </w:r>
          </w:hyperlink>
        </w:p>
        <w:p w14:paraId="04BBBC70" w14:textId="57739444" w:rsidR="00BC349B" w:rsidRDefault="00000000">
          <w:pPr>
            <w:pStyle w:val="TOC4"/>
            <w:tabs>
              <w:tab w:val="right" w:leader="dot" w:pos="9200"/>
            </w:tabs>
            <w:rPr>
              <w:rFonts w:asciiTheme="minorHAnsi" w:eastAsiaTheme="minorEastAsia" w:hAnsiTheme="minorHAnsi"/>
              <w:noProof/>
              <w:sz w:val="22"/>
              <w:lang w:eastAsia="en-AU"/>
            </w:rPr>
          </w:pPr>
          <w:hyperlink w:anchor="_Toc131144608" w:history="1">
            <w:r w:rsidR="00BC349B" w:rsidRPr="002B6C02">
              <w:rPr>
                <w:rStyle w:val="Hyperlink"/>
                <w:rFonts w:eastAsia="Times New Roman" w:cs="Arial"/>
                <w:noProof/>
                <w:lang w:eastAsia="en-AU"/>
              </w:rPr>
              <w:t>Where there any applications for a rule nisi to ensue for the respondent to show cause why they should not be ordered to make immediate adjustments to policies intruding on the fundamental rights of individuals or a group of individuals?</w:t>
            </w:r>
            <w:r w:rsidR="00BC349B">
              <w:rPr>
                <w:noProof/>
                <w:webHidden/>
              </w:rPr>
              <w:tab/>
            </w:r>
            <w:r w:rsidR="00BC349B">
              <w:rPr>
                <w:noProof/>
                <w:webHidden/>
              </w:rPr>
              <w:fldChar w:fldCharType="begin"/>
            </w:r>
            <w:r w:rsidR="00BC349B">
              <w:rPr>
                <w:noProof/>
                <w:webHidden/>
              </w:rPr>
              <w:instrText xml:space="preserve"> PAGEREF _Toc131144608 \h </w:instrText>
            </w:r>
            <w:r w:rsidR="00BC349B">
              <w:rPr>
                <w:noProof/>
                <w:webHidden/>
              </w:rPr>
            </w:r>
            <w:r w:rsidR="00BC349B">
              <w:rPr>
                <w:noProof/>
                <w:webHidden/>
              </w:rPr>
              <w:fldChar w:fldCharType="separate"/>
            </w:r>
            <w:r w:rsidR="00BC349B">
              <w:rPr>
                <w:noProof/>
                <w:webHidden/>
              </w:rPr>
              <w:t>15</w:t>
            </w:r>
            <w:r w:rsidR="00BC349B">
              <w:rPr>
                <w:noProof/>
                <w:webHidden/>
              </w:rPr>
              <w:fldChar w:fldCharType="end"/>
            </w:r>
          </w:hyperlink>
        </w:p>
        <w:p w14:paraId="3138B848" w14:textId="490DB003" w:rsidR="00BC349B" w:rsidRDefault="00000000">
          <w:pPr>
            <w:pStyle w:val="TOC4"/>
            <w:tabs>
              <w:tab w:val="right" w:leader="dot" w:pos="9200"/>
            </w:tabs>
            <w:rPr>
              <w:rFonts w:asciiTheme="minorHAnsi" w:eastAsiaTheme="minorEastAsia" w:hAnsiTheme="minorHAnsi"/>
              <w:noProof/>
              <w:sz w:val="22"/>
              <w:lang w:eastAsia="en-AU"/>
            </w:rPr>
          </w:pPr>
          <w:hyperlink w:anchor="_Toc131144609" w:history="1">
            <w:r w:rsidR="00BC349B" w:rsidRPr="002B6C02">
              <w:rPr>
                <w:rStyle w:val="Hyperlink"/>
                <w:rFonts w:eastAsia="Times New Roman" w:cs="Arial"/>
                <w:noProof/>
                <w:lang w:eastAsia="en-AU"/>
              </w:rPr>
              <w:t>Are there specific rules and precedents that detail the manner and format in which class actions or applications for a rule nisi and if so what are they and where can they be found or downloaded?</w:t>
            </w:r>
            <w:r w:rsidR="00BC349B">
              <w:rPr>
                <w:noProof/>
                <w:webHidden/>
              </w:rPr>
              <w:tab/>
            </w:r>
            <w:r w:rsidR="00BC349B">
              <w:rPr>
                <w:noProof/>
                <w:webHidden/>
              </w:rPr>
              <w:fldChar w:fldCharType="begin"/>
            </w:r>
            <w:r w:rsidR="00BC349B">
              <w:rPr>
                <w:noProof/>
                <w:webHidden/>
              </w:rPr>
              <w:instrText xml:space="preserve"> PAGEREF _Toc131144609 \h </w:instrText>
            </w:r>
            <w:r w:rsidR="00BC349B">
              <w:rPr>
                <w:noProof/>
                <w:webHidden/>
              </w:rPr>
            </w:r>
            <w:r w:rsidR="00BC349B">
              <w:rPr>
                <w:noProof/>
                <w:webHidden/>
              </w:rPr>
              <w:fldChar w:fldCharType="separate"/>
            </w:r>
            <w:r w:rsidR="00BC349B">
              <w:rPr>
                <w:noProof/>
                <w:webHidden/>
              </w:rPr>
              <w:t>15</w:t>
            </w:r>
            <w:r w:rsidR="00BC349B">
              <w:rPr>
                <w:noProof/>
                <w:webHidden/>
              </w:rPr>
              <w:fldChar w:fldCharType="end"/>
            </w:r>
          </w:hyperlink>
        </w:p>
        <w:p w14:paraId="68026058" w14:textId="2E5B4F60" w:rsidR="00BC349B" w:rsidRDefault="00000000">
          <w:pPr>
            <w:pStyle w:val="TOC4"/>
            <w:tabs>
              <w:tab w:val="right" w:leader="dot" w:pos="9200"/>
            </w:tabs>
            <w:rPr>
              <w:rFonts w:asciiTheme="minorHAnsi" w:eastAsiaTheme="minorEastAsia" w:hAnsiTheme="minorHAnsi"/>
              <w:noProof/>
              <w:sz w:val="22"/>
              <w:lang w:eastAsia="en-AU"/>
            </w:rPr>
          </w:pPr>
          <w:hyperlink w:anchor="_Toc131144610" w:history="1">
            <w:r w:rsidR="00BC349B" w:rsidRPr="002B6C02">
              <w:rPr>
                <w:rStyle w:val="Hyperlink"/>
                <w:rFonts w:eastAsia="Times New Roman" w:cs="Arial"/>
                <w:noProof/>
                <w:lang w:eastAsia="en-AU"/>
              </w:rPr>
              <w:t>Based on case law, the rules of court and precedent, can you provide an example of an application to the Australian High Court for a rule nisi for the respondent to show cause why they should not show cause to immediately desist from threatening the fundamental rights of a certain segment of the community as per the attached draft order or such order as the honourable court may deem fit?</w:t>
            </w:r>
            <w:r w:rsidR="00BC349B">
              <w:rPr>
                <w:noProof/>
                <w:webHidden/>
              </w:rPr>
              <w:tab/>
            </w:r>
            <w:r w:rsidR="00BC349B">
              <w:rPr>
                <w:noProof/>
                <w:webHidden/>
              </w:rPr>
              <w:fldChar w:fldCharType="begin"/>
            </w:r>
            <w:r w:rsidR="00BC349B">
              <w:rPr>
                <w:noProof/>
                <w:webHidden/>
              </w:rPr>
              <w:instrText xml:space="preserve"> PAGEREF _Toc131144610 \h </w:instrText>
            </w:r>
            <w:r w:rsidR="00BC349B">
              <w:rPr>
                <w:noProof/>
                <w:webHidden/>
              </w:rPr>
            </w:r>
            <w:r w:rsidR="00BC349B">
              <w:rPr>
                <w:noProof/>
                <w:webHidden/>
              </w:rPr>
              <w:fldChar w:fldCharType="separate"/>
            </w:r>
            <w:r w:rsidR="00BC349B">
              <w:rPr>
                <w:noProof/>
                <w:webHidden/>
              </w:rPr>
              <w:t>16</w:t>
            </w:r>
            <w:r w:rsidR="00BC349B">
              <w:rPr>
                <w:noProof/>
                <w:webHidden/>
              </w:rPr>
              <w:fldChar w:fldCharType="end"/>
            </w:r>
          </w:hyperlink>
        </w:p>
        <w:p w14:paraId="3E370708" w14:textId="3EFED0E5" w:rsidR="00BC349B" w:rsidRDefault="00000000">
          <w:pPr>
            <w:pStyle w:val="TOC4"/>
            <w:tabs>
              <w:tab w:val="right" w:leader="dot" w:pos="9200"/>
            </w:tabs>
            <w:rPr>
              <w:rFonts w:asciiTheme="minorHAnsi" w:eastAsiaTheme="minorEastAsia" w:hAnsiTheme="minorHAnsi"/>
              <w:noProof/>
              <w:sz w:val="22"/>
              <w:lang w:eastAsia="en-AU"/>
            </w:rPr>
          </w:pPr>
          <w:hyperlink w:anchor="_Toc131144611" w:history="1">
            <w:r w:rsidR="00BC349B" w:rsidRPr="002B6C02">
              <w:rPr>
                <w:rStyle w:val="Hyperlink"/>
                <w:rFonts w:eastAsia="Times New Roman" w:cs="Arial"/>
                <w:noProof/>
                <w:lang w:eastAsia="en-AU"/>
              </w:rPr>
              <w:t>How would you word such an application?</w:t>
            </w:r>
            <w:r w:rsidR="00BC349B">
              <w:rPr>
                <w:noProof/>
                <w:webHidden/>
              </w:rPr>
              <w:tab/>
            </w:r>
            <w:r w:rsidR="00BC349B">
              <w:rPr>
                <w:noProof/>
                <w:webHidden/>
              </w:rPr>
              <w:fldChar w:fldCharType="begin"/>
            </w:r>
            <w:r w:rsidR="00BC349B">
              <w:rPr>
                <w:noProof/>
                <w:webHidden/>
              </w:rPr>
              <w:instrText xml:space="preserve"> PAGEREF _Toc131144611 \h </w:instrText>
            </w:r>
            <w:r w:rsidR="00BC349B">
              <w:rPr>
                <w:noProof/>
                <w:webHidden/>
              </w:rPr>
            </w:r>
            <w:r w:rsidR="00BC349B">
              <w:rPr>
                <w:noProof/>
                <w:webHidden/>
              </w:rPr>
              <w:fldChar w:fldCharType="separate"/>
            </w:r>
            <w:r w:rsidR="00BC349B">
              <w:rPr>
                <w:noProof/>
                <w:webHidden/>
              </w:rPr>
              <w:t>16</w:t>
            </w:r>
            <w:r w:rsidR="00BC349B">
              <w:rPr>
                <w:noProof/>
                <w:webHidden/>
              </w:rPr>
              <w:fldChar w:fldCharType="end"/>
            </w:r>
          </w:hyperlink>
        </w:p>
        <w:p w14:paraId="6015896F" w14:textId="3FE6905E" w:rsidR="00BC349B" w:rsidRDefault="00000000">
          <w:pPr>
            <w:pStyle w:val="TOC3"/>
            <w:rPr>
              <w:rFonts w:asciiTheme="minorHAnsi" w:eastAsiaTheme="minorEastAsia" w:hAnsiTheme="minorHAnsi" w:cstheme="minorBidi"/>
              <w:b w:val="0"/>
              <w:bCs w:val="0"/>
              <w:sz w:val="22"/>
            </w:rPr>
          </w:pPr>
          <w:hyperlink w:anchor="_Toc131144612" w:history="1">
            <w:r w:rsidR="00BC349B" w:rsidRPr="002B6C02">
              <w:rPr>
                <w:rStyle w:val="Hyperlink"/>
              </w:rPr>
              <w:t>International treaties</w:t>
            </w:r>
            <w:r w:rsidR="00BC349B">
              <w:rPr>
                <w:webHidden/>
              </w:rPr>
              <w:tab/>
            </w:r>
            <w:r w:rsidR="00BC349B">
              <w:rPr>
                <w:webHidden/>
              </w:rPr>
              <w:fldChar w:fldCharType="begin"/>
            </w:r>
            <w:r w:rsidR="00BC349B">
              <w:rPr>
                <w:webHidden/>
              </w:rPr>
              <w:instrText xml:space="preserve"> PAGEREF _Toc131144612 \h </w:instrText>
            </w:r>
            <w:r w:rsidR="00BC349B">
              <w:rPr>
                <w:webHidden/>
              </w:rPr>
            </w:r>
            <w:r w:rsidR="00BC349B">
              <w:rPr>
                <w:webHidden/>
              </w:rPr>
              <w:fldChar w:fldCharType="separate"/>
            </w:r>
            <w:r w:rsidR="00BC349B">
              <w:rPr>
                <w:webHidden/>
              </w:rPr>
              <w:t>17</w:t>
            </w:r>
            <w:r w:rsidR="00BC349B">
              <w:rPr>
                <w:webHidden/>
              </w:rPr>
              <w:fldChar w:fldCharType="end"/>
            </w:r>
          </w:hyperlink>
        </w:p>
        <w:p w14:paraId="354644C3" w14:textId="470EE71E" w:rsidR="00BC349B" w:rsidRDefault="00000000">
          <w:pPr>
            <w:pStyle w:val="TOC4"/>
            <w:tabs>
              <w:tab w:val="right" w:leader="dot" w:pos="9200"/>
            </w:tabs>
            <w:rPr>
              <w:rFonts w:asciiTheme="minorHAnsi" w:eastAsiaTheme="minorEastAsia" w:hAnsiTheme="minorHAnsi"/>
              <w:noProof/>
              <w:sz w:val="22"/>
              <w:lang w:eastAsia="en-AU"/>
            </w:rPr>
          </w:pPr>
          <w:hyperlink w:anchor="_Toc131144613" w:history="1">
            <w:r w:rsidR="00BC349B" w:rsidRPr="002B6C02">
              <w:rPr>
                <w:rStyle w:val="Hyperlink"/>
                <w:rFonts w:eastAsia="Times New Roman" w:cs="Arial"/>
                <w:noProof/>
                <w:lang w:eastAsia="en-AU"/>
              </w:rPr>
              <w:t>Have the obligations imposed by international treaties that impose obligations on Australia to enforce and uphold fundamental human rights, been limited by Australian statute or regulations?</w:t>
            </w:r>
            <w:r w:rsidR="00BC349B">
              <w:rPr>
                <w:noProof/>
                <w:webHidden/>
              </w:rPr>
              <w:tab/>
            </w:r>
            <w:r w:rsidR="00BC349B">
              <w:rPr>
                <w:noProof/>
                <w:webHidden/>
              </w:rPr>
              <w:fldChar w:fldCharType="begin"/>
            </w:r>
            <w:r w:rsidR="00BC349B">
              <w:rPr>
                <w:noProof/>
                <w:webHidden/>
              </w:rPr>
              <w:instrText xml:space="preserve"> PAGEREF _Toc131144613 \h </w:instrText>
            </w:r>
            <w:r w:rsidR="00BC349B">
              <w:rPr>
                <w:noProof/>
                <w:webHidden/>
              </w:rPr>
            </w:r>
            <w:r w:rsidR="00BC349B">
              <w:rPr>
                <w:noProof/>
                <w:webHidden/>
              </w:rPr>
              <w:fldChar w:fldCharType="separate"/>
            </w:r>
            <w:r w:rsidR="00BC349B">
              <w:rPr>
                <w:noProof/>
                <w:webHidden/>
              </w:rPr>
              <w:t>17</w:t>
            </w:r>
            <w:r w:rsidR="00BC349B">
              <w:rPr>
                <w:noProof/>
                <w:webHidden/>
              </w:rPr>
              <w:fldChar w:fldCharType="end"/>
            </w:r>
          </w:hyperlink>
        </w:p>
        <w:p w14:paraId="63C8B3B8" w14:textId="28377629" w:rsidR="00BC349B" w:rsidRDefault="00000000">
          <w:pPr>
            <w:pStyle w:val="TOC4"/>
            <w:tabs>
              <w:tab w:val="right" w:leader="dot" w:pos="9200"/>
            </w:tabs>
            <w:rPr>
              <w:rFonts w:asciiTheme="minorHAnsi" w:eastAsiaTheme="minorEastAsia" w:hAnsiTheme="minorHAnsi"/>
              <w:noProof/>
              <w:sz w:val="22"/>
              <w:lang w:eastAsia="en-AU"/>
            </w:rPr>
          </w:pPr>
          <w:hyperlink w:anchor="_Toc131144614" w:history="1">
            <w:r w:rsidR="00BC349B" w:rsidRPr="002B6C02">
              <w:rPr>
                <w:rStyle w:val="Hyperlink"/>
                <w:rFonts w:eastAsia="Times New Roman" w:cs="Arial"/>
                <w:noProof/>
                <w:lang w:eastAsia="en-AU"/>
              </w:rPr>
              <w:t>Have the obligations imposed by international treaties that impose obligations on Australia to enforce and uphold fundamental human rights, been limited by Australian statute or regulations?</w:t>
            </w:r>
            <w:r w:rsidR="00BC349B">
              <w:rPr>
                <w:noProof/>
                <w:webHidden/>
              </w:rPr>
              <w:tab/>
            </w:r>
            <w:r w:rsidR="00BC349B">
              <w:rPr>
                <w:noProof/>
                <w:webHidden/>
              </w:rPr>
              <w:fldChar w:fldCharType="begin"/>
            </w:r>
            <w:r w:rsidR="00BC349B">
              <w:rPr>
                <w:noProof/>
                <w:webHidden/>
              </w:rPr>
              <w:instrText xml:space="preserve"> PAGEREF _Toc131144614 \h </w:instrText>
            </w:r>
            <w:r w:rsidR="00BC349B">
              <w:rPr>
                <w:noProof/>
                <w:webHidden/>
              </w:rPr>
            </w:r>
            <w:r w:rsidR="00BC349B">
              <w:rPr>
                <w:noProof/>
                <w:webHidden/>
              </w:rPr>
              <w:fldChar w:fldCharType="separate"/>
            </w:r>
            <w:r w:rsidR="00BC349B">
              <w:rPr>
                <w:noProof/>
                <w:webHidden/>
              </w:rPr>
              <w:t>17</w:t>
            </w:r>
            <w:r w:rsidR="00BC349B">
              <w:rPr>
                <w:noProof/>
                <w:webHidden/>
              </w:rPr>
              <w:fldChar w:fldCharType="end"/>
            </w:r>
          </w:hyperlink>
        </w:p>
        <w:p w14:paraId="25A3939B" w14:textId="50A6BE67" w:rsidR="00BC349B" w:rsidRDefault="00000000">
          <w:pPr>
            <w:pStyle w:val="TOC3"/>
            <w:rPr>
              <w:rFonts w:asciiTheme="minorHAnsi" w:eastAsiaTheme="minorEastAsia" w:hAnsiTheme="minorHAnsi" w:cstheme="minorBidi"/>
              <w:b w:val="0"/>
              <w:bCs w:val="0"/>
              <w:sz w:val="22"/>
            </w:rPr>
          </w:pPr>
          <w:hyperlink w:anchor="_Toc131144615" w:history="1">
            <w:r w:rsidR="00BC349B" w:rsidRPr="002B6C02">
              <w:rPr>
                <w:rStyle w:val="Hyperlink"/>
              </w:rPr>
              <w:t>Definitions</w:t>
            </w:r>
            <w:r w:rsidR="00BC349B">
              <w:rPr>
                <w:webHidden/>
              </w:rPr>
              <w:tab/>
            </w:r>
            <w:r w:rsidR="00BC349B">
              <w:rPr>
                <w:webHidden/>
              </w:rPr>
              <w:fldChar w:fldCharType="begin"/>
            </w:r>
            <w:r w:rsidR="00BC349B">
              <w:rPr>
                <w:webHidden/>
              </w:rPr>
              <w:instrText xml:space="preserve"> PAGEREF _Toc131144615 \h </w:instrText>
            </w:r>
            <w:r w:rsidR="00BC349B">
              <w:rPr>
                <w:webHidden/>
              </w:rPr>
            </w:r>
            <w:r w:rsidR="00BC349B">
              <w:rPr>
                <w:webHidden/>
              </w:rPr>
              <w:fldChar w:fldCharType="separate"/>
            </w:r>
            <w:r w:rsidR="00BC349B">
              <w:rPr>
                <w:webHidden/>
              </w:rPr>
              <w:t>18</w:t>
            </w:r>
            <w:r w:rsidR="00BC349B">
              <w:rPr>
                <w:webHidden/>
              </w:rPr>
              <w:fldChar w:fldCharType="end"/>
            </w:r>
          </w:hyperlink>
        </w:p>
        <w:p w14:paraId="0F625B28" w14:textId="562AEB3C" w:rsidR="00BC349B" w:rsidRDefault="00000000">
          <w:pPr>
            <w:pStyle w:val="TOC4"/>
            <w:tabs>
              <w:tab w:val="right" w:leader="dot" w:pos="9200"/>
            </w:tabs>
            <w:rPr>
              <w:rFonts w:asciiTheme="minorHAnsi" w:eastAsiaTheme="minorEastAsia" w:hAnsiTheme="minorHAnsi"/>
              <w:noProof/>
              <w:sz w:val="22"/>
              <w:lang w:eastAsia="en-AU"/>
            </w:rPr>
          </w:pPr>
          <w:hyperlink w:anchor="_Toc131144616" w:history="1">
            <w:r w:rsidR="00BC349B" w:rsidRPr="002B6C02">
              <w:rPr>
                <w:rStyle w:val="Hyperlink"/>
                <w:rFonts w:eastAsia="Times New Roman" w:cs="Arial"/>
                <w:noProof/>
                <w:lang w:eastAsia="en-AU"/>
              </w:rPr>
              <w:t>As a leading R&amp;D authority what are the various requirements established by, government, NGO's national intelligence agencies and universities worldwide to justify the characteristics of a person or group as (1) radicalised, (2) cultist, (3) fanatical?</w:t>
            </w:r>
            <w:r w:rsidR="00BC349B">
              <w:rPr>
                <w:noProof/>
                <w:webHidden/>
              </w:rPr>
              <w:tab/>
            </w:r>
            <w:r w:rsidR="00BC349B">
              <w:rPr>
                <w:noProof/>
                <w:webHidden/>
              </w:rPr>
              <w:fldChar w:fldCharType="begin"/>
            </w:r>
            <w:r w:rsidR="00BC349B">
              <w:rPr>
                <w:noProof/>
                <w:webHidden/>
              </w:rPr>
              <w:instrText xml:space="preserve"> PAGEREF _Toc131144616 \h </w:instrText>
            </w:r>
            <w:r w:rsidR="00BC349B">
              <w:rPr>
                <w:noProof/>
                <w:webHidden/>
              </w:rPr>
            </w:r>
            <w:r w:rsidR="00BC349B">
              <w:rPr>
                <w:noProof/>
                <w:webHidden/>
              </w:rPr>
              <w:fldChar w:fldCharType="separate"/>
            </w:r>
            <w:r w:rsidR="00BC349B">
              <w:rPr>
                <w:noProof/>
                <w:webHidden/>
              </w:rPr>
              <w:t>18</w:t>
            </w:r>
            <w:r w:rsidR="00BC349B">
              <w:rPr>
                <w:noProof/>
                <w:webHidden/>
              </w:rPr>
              <w:fldChar w:fldCharType="end"/>
            </w:r>
          </w:hyperlink>
        </w:p>
        <w:p w14:paraId="4B4FC9B3" w14:textId="5CF913D5" w:rsidR="00BC349B" w:rsidRDefault="00000000">
          <w:pPr>
            <w:pStyle w:val="TOC4"/>
            <w:tabs>
              <w:tab w:val="right" w:leader="dot" w:pos="9200"/>
            </w:tabs>
            <w:rPr>
              <w:rFonts w:asciiTheme="minorHAnsi" w:eastAsiaTheme="minorEastAsia" w:hAnsiTheme="minorHAnsi"/>
              <w:noProof/>
              <w:sz w:val="22"/>
              <w:lang w:eastAsia="en-AU"/>
            </w:rPr>
          </w:pPr>
          <w:hyperlink w:anchor="_Toc131144617" w:history="1">
            <w:r w:rsidR="00BC349B" w:rsidRPr="002B6C02">
              <w:rPr>
                <w:rStyle w:val="Hyperlink"/>
                <w:rFonts w:eastAsia="Times New Roman" w:cs="Arial"/>
                <w:noProof/>
                <w:lang w:eastAsia="en-AU"/>
              </w:rPr>
              <w:t>What are the various requirements, factors, associations, status, or behaviours under Australian law that would classify a person as a terrorist or domestic terrorist?</w:t>
            </w:r>
            <w:r w:rsidR="00BC349B">
              <w:rPr>
                <w:noProof/>
                <w:webHidden/>
              </w:rPr>
              <w:tab/>
            </w:r>
            <w:r w:rsidR="00BC349B">
              <w:rPr>
                <w:noProof/>
                <w:webHidden/>
              </w:rPr>
              <w:fldChar w:fldCharType="begin"/>
            </w:r>
            <w:r w:rsidR="00BC349B">
              <w:rPr>
                <w:noProof/>
                <w:webHidden/>
              </w:rPr>
              <w:instrText xml:space="preserve"> PAGEREF _Toc131144617 \h </w:instrText>
            </w:r>
            <w:r w:rsidR="00BC349B">
              <w:rPr>
                <w:noProof/>
                <w:webHidden/>
              </w:rPr>
            </w:r>
            <w:r w:rsidR="00BC349B">
              <w:rPr>
                <w:noProof/>
                <w:webHidden/>
              </w:rPr>
              <w:fldChar w:fldCharType="separate"/>
            </w:r>
            <w:r w:rsidR="00BC349B">
              <w:rPr>
                <w:noProof/>
                <w:webHidden/>
              </w:rPr>
              <w:t>19</w:t>
            </w:r>
            <w:r w:rsidR="00BC349B">
              <w:rPr>
                <w:noProof/>
                <w:webHidden/>
              </w:rPr>
              <w:fldChar w:fldCharType="end"/>
            </w:r>
          </w:hyperlink>
        </w:p>
        <w:p w14:paraId="4EF9AC65" w14:textId="31DF92FB" w:rsidR="00BC349B" w:rsidRDefault="00000000">
          <w:pPr>
            <w:pStyle w:val="TOC4"/>
            <w:tabs>
              <w:tab w:val="right" w:leader="dot" w:pos="9200"/>
            </w:tabs>
            <w:rPr>
              <w:rFonts w:asciiTheme="minorHAnsi" w:eastAsiaTheme="minorEastAsia" w:hAnsiTheme="minorHAnsi"/>
              <w:noProof/>
              <w:sz w:val="22"/>
              <w:lang w:eastAsia="en-AU"/>
            </w:rPr>
          </w:pPr>
          <w:hyperlink w:anchor="_Toc131144618" w:history="1">
            <w:r w:rsidR="00BC349B" w:rsidRPr="002B6C02">
              <w:rPr>
                <w:rStyle w:val="Hyperlink"/>
                <w:rFonts w:eastAsia="Times New Roman" w:cs="Arial"/>
                <w:noProof/>
                <w:lang w:eastAsia="en-AU"/>
              </w:rPr>
              <w:t>What are the various requirements, factors, associations, status, or behaviours under Australian law that would classify a person as radicalised?</w:t>
            </w:r>
            <w:r w:rsidR="00BC349B">
              <w:rPr>
                <w:noProof/>
                <w:webHidden/>
              </w:rPr>
              <w:tab/>
            </w:r>
            <w:r w:rsidR="00BC349B">
              <w:rPr>
                <w:noProof/>
                <w:webHidden/>
              </w:rPr>
              <w:fldChar w:fldCharType="begin"/>
            </w:r>
            <w:r w:rsidR="00BC349B">
              <w:rPr>
                <w:noProof/>
                <w:webHidden/>
              </w:rPr>
              <w:instrText xml:space="preserve"> PAGEREF _Toc131144618 \h </w:instrText>
            </w:r>
            <w:r w:rsidR="00BC349B">
              <w:rPr>
                <w:noProof/>
                <w:webHidden/>
              </w:rPr>
            </w:r>
            <w:r w:rsidR="00BC349B">
              <w:rPr>
                <w:noProof/>
                <w:webHidden/>
              </w:rPr>
              <w:fldChar w:fldCharType="separate"/>
            </w:r>
            <w:r w:rsidR="00BC349B">
              <w:rPr>
                <w:noProof/>
                <w:webHidden/>
              </w:rPr>
              <w:t>20</w:t>
            </w:r>
            <w:r w:rsidR="00BC349B">
              <w:rPr>
                <w:noProof/>
                <w:webHidden/>
              </w:rPr>
              <w:fldChar w:fldCharType="end"/>
            </w:r>
          </w:hyperlink>
        </w:p>
        <w:p w14:paraId="5B578CC2" w14:textId="1AD1895C" w:rsidR="00BC349B" w:rsidRDefault="00000000">
          <w:pPr>
            <w:pStyle w:val="TOC4"/>
            <w:tabs>
              <w:tab w:val="right" w:leader="dot" w:pos="9200"/>
            </w:tabs>
            <w:rPr>
              <w:rFonts w:asciiTheme="minorHAnsi" w:eastAsiaTheme="minorEastAsia" w:hAnsiTheme="minorHAnsi"/>
              <w:noProof/>
              <w:sz w:val="22"/>
              <w:lang w:eastAsia="en-AU"/>
            </w:rPr>
          </w:pPr>
          <w:hyperlink w:anchor="_Toc131144619" w:history="1">
            <w:r w:rsidR="00BC349B" w:rsidRPr="002B6C02">
              <w:rPr>
                <w:rStyle w:val="Hyperlink"/>
                <w:rFonts w:eastAsia="Times New Roman" w:cs="Arial"/>
                <w:noProof/>
                <w:lang w:eastAsia="en-AU"/>
              </w:rPr>
              <w:t>What laws and regulations are in place in Australian law against vilification, criminalisation, victimisation, persecution, calumniation, persecution and defamation of a person or groups, or types of persons in society?</w:t>
            </w:r>
            <w:r w:rsidR="00BC349B">
              <w:rPr>
                <w:noProof/>
                <w:webHidden/>
              </w:rPr>
              <w:tab/>
            </w:r>
            <w:r w:rsidR="00BC349B">
              <w:rPr>
                <w:noProof/>
                <w:webHidden/>
              </w:rPr>
              <w:fldChar w:fldCharType="begin"/>
            </w:r>
            <w:r w:rsidR="00BC349B">
              <w:rPr>
                <w:noProof/>
                <w:webHidden/>
              </w:rPr>
              <w:instrText xml:space="preserve"> PAGEREF _Toc131144619 \h </w:instrText>
            </w:r>
            <w:r w:rsidR="00BC349B">
              <w:rPr>
                <w:noProof/>
                <w:webHidden/>
              </w:rPr>
            </w:r>
            <w:r w:rsidR="00BC349B">
              <w:rPr>
                <w:noProof/>
                <w:webHidden/>
              </w:rPr>
              <w:fldChar w:fldCharType="separate"/>
            </w:r>
            <w:r w:rsidR="00BC349B">
              <w:rPr>
                <w:noProof/>
                <w:webHidden/>
              </w:rPr>
              <w:t>21</w:t>
            </w:r>
            <w:r w:rsidR="00BC349B">
              <w:rPr>
                <w:noProof/>
                <w:webHidden/>
              </w:rPr>
              <w:fldChar w:fldCharType="end"/>
            </w:r>
          </w:hyperlink>
        </w:p>
        <w:p w14:paraId="48BFE829" w14:textId="5D553E65" w:rsidR="00BC349B" w:rsidRDefault="00000000">
          <w:pPr>
            <w:pStyle w:val="TOC4"/>
            <w:tabs>
              <w:tab w:val="right" w:leader="dot" w:pos="9200"/>
            </w:tabs>
            <w:rPr>
              <w:rFonts w:asciiTheme="minorHAnsi" w:eastAsiaTheme="minorEastAsia" w:hAnsiTheme="minorHAnsi"/>
              <w:noProof/>
              <w:sz w:val="22"/>
              <w:lang w:eastAsia="en-AU"/>
            </w:rPr>
          </w:pPr>
          <w:hyperlink w:anchor="_Toc131144620" w:history="1">
            <w:r w:rsidR="00BC349B" w:rsidRPr="002B6C02">
              <w:rPr>
                <w:rStyle w:val="Hyperlink"/>
                <w:rFonts w:eastAsia="Times New Roman" w:cs="Arial"/>
                <w:noProof/>
                <w:lang w:eastAsia="en-AU"/>
              </w:rPr>
              <w:t>What laws are in place in Australia to regulate hate speech and incitement of persons to persecute, intimidate or harass certain parts of society?</w:t>
            </w:r>
            <w:r w:rsidR="00BC349B">
              <w:rPr>
                <w:noProof/>
                <w:webHidden/>
              </w:rPr>
              <w:tab/>
            </w:r>
            <w:r w:rsidR="00BC349B">
              <w:rPr>
                <w:noProof/>
                <w:webHidden/>
              </w:rPr>
              <w:fldChar w:fldCharType="begin"/>
            </w:r>
            <w:r w:rsidR="00BC349B">
              <w:rPr>
                <w:noProof/>
                <w:webHidden/>
              </w:rPr>
              <w:instrText xml:space="preserve"> PAGEREF _Toc131144620 \h </w:instrText>
            </w:r>
            <w:r w:rsidR="00BC349B">
              <w:rPr>
                <w:noProof/>
                <w:webHidden/>
              </w:rPr>
            </w:r>
            <w:r w:rsidR="00BC349B">
              <w:rPr>
                <w:noProof/>
                <w:webHidden/>
              </w:rPr>
              <w:fldChar w:fldCharType="separate"/>
            </w:r>
            <w:r w:rsidR="00BC349B">
              <w:rPr>
                <w:noProof/>
                <w:webHidden/>
              </w:rPr>
              <w:t>22</w:t>
            </w:r>
            <w:r w:rsidR="00BC349B">
              <w:rPr>
                <w:noProof/>
                <w:webHidden/>
              </w:rPr>
              <w:fldChar w:fldCharType="end"/>
            </w:r>
          </w:hyperlink>
        </w:p>
        <w:p w14:paraId="053A4623" w14:textId="13DD734A" w:rsidR="00BC349B" w:rsidRDefault="00000000">
          <w:pPr>
            <w:pStyle w:val="TOC2"/>
            <w:rPr>
              <w:rFonts w:cstheme="minorBidi"/>
              <w:sz w:val="22"/>
              <w:szCs w:val="22"/>
              <w:lang w:val="en-AU" w:eastAsia="en-AU"/>
            </w:rPr>
          </w:pPr>
          <w:hyperlink w:anchor="_Toc131144621" w:history="1">
            <w:r w:rsidR="00BC349B" w:rsidRPr="002B6C02">
              <w:rPr>
                <w:rStyle w:val="Hyperlink"/>
              </w:rPr>
              <w:t>Legal Aid</w:t>
            </w:r>
            <w:r w:rsidR="00BC349B">
              <w:rPr>
                <w:webHidden/>
              </w:rPr>
              <w:tab/>
            </w:r>
            <w:r w:rsidR="00BC349B">
              <w:rPr>
                <w:webHidden/>
              </w:rPr>
              <w:fldChar w:fldCharType="begin"/>
            </w:r>
            <w:r w:rsidR="00BC349B">
              <w:rPr>
                <w:webHidden/>
              </w:rPr>
              <w:instrText xml:space="preserve"> PAGEREF _Toc131144621 \h </w:instrText>
            </w:r>
            <w:r w:rsidR="00BC349B">
              <w:rPr>
                <w:webHidden/>
              </w:rPr>
            </w:r>
            <w:r w:rsidR="00BC349B">
              <w:rPr>
                <w:webHidden/>
              </w:rPr>
              <w:fldChar w:fldCharType="separate"/>
            </w:r>
            <w:r w:rsidR="00BC349B">
              <w:rPr>
                <w:webHidden/>
              </w:rPr>
              <w:t>22</w:t>
            </w:r>
            <w:r w:rsidR="00BC349B">
              <w:rPr>
                <w:webHidden/>
              </w:rPr>
              <w:fldChar w:fldCharType="end"/>
            </w:r>
          </w:hyperlink>
        </w:p>
        <w:p w14:paraId="27A16D01" w14:textId="5F55FE86" w:rsidR="00BC349B" w:rsidRDefault="00000000">
          <w:pPr>
            <w:pStyle w:val="TOC3"/>
            <w:rPr>
              <w:rFonts w:asciiTheme="minorHAnsi" w:eastAsiaTheme="minorEastAsia" w:hAnsiTheme="minorHAnsi" w:cstheme="minorBidi"/>
              <w:b w:val="0"/>
              <w:bCs w:val="0"/>
              <w:sz w:val="22"/>
            </w:rPr>
          </w:pPr>
          <w:hyperlink w:anchor="_Toc131144622" w:history="1">
            <w:r w:rsidR="00BC349B" w:rsidRPr="002B6C02">
              <w:rPr>
                <w:rStyle w:val="Hyperlink"/>
              </w:rPr>
              <w:t>In Australia what right to state funded legal aid do people have and is there a means test of sorts that would require persons to fund the aid themselves?</w:t>
            </w:r>
            <w:r w:rsidR="00BC349B">
              <w:rPr>
                <w:webHidden/>
              </w:rPr>
              <w:tab/>
            </w:r>
            <w:r w:rsidR="00BC349B">
              <w:rPr>
                <w:webHidden/>
              </w:rPr>
              <w:fldChar w:fldCharType="begin"/>
            </w:r>
            <w:r w:rsidR="00BC349B">
              <w:rPr>
                <w:webHidden/>
              </w:rPr>
              <w:instrText xml:space="preserve"> PAGEREF _Toc131144622 \h </w:instrText>
            </w:r>
            <w:r w:rsidR="00BC349B">
              <w:rPr>
                <w:webHidden/>
              </w:rPr>
            </w:r>
            <w:r w:rsidR="00BC349B">
              <w:rPr>
                <w:webHidden/>
              </w:rPr>
              <w:fldChar w:fldCharType="separate"/>
            </w:r>
            <w:r w:rsidR="00BC349B">
              <w:rPr>
                <w:webHidden/>
              </w:rPr>
              <w:t>22</w:t>
            </w:r>
            <w:r w:rsidR="00BC349B">
              <w:rPr>
                <w:webHidden/>
              </w:rPr>
              <w:fldChar w:fldCharType="end"/>
            </w:r>
          </w:hyperlink>
        </w:p>
        <w:p w14:paraId="76DF935B" w14:textId="32AF2167" w:rsidR="00BC349B" w:rsidRDefault="00000000">
          <w:pPr>
            <w:pStyle w:val="TOC4"/>
            <w:tabs>
              <w:tab w:val="right" w:leader="dot" w:pos="9200"/>
            </w:tabs>
            <w:rPr>
              <w:rFonts w:asciiTheme="minorHAnsi" w:eastAsiaTheme="minorEastAsia" w:hAnsiTheme="minorHAnsi"/>
              <w:noProof/>
              <w:sz w:val="22"/>
              <w:lang w:eastAsia="en-AU"/>
            </w:rPr>
          </w:pPr>
          <w:hyperlink w:anchor="_Toc131144623" w:history="1">
            <w:r w:rsidR="00BC349B" w:rsidRPr="002B6C02">
              <w:rPr>
                <w:rStyle w:val="Hyperlink"/>
                <w:noProof/>
              </w:rPr>
              <w:t>Which web pages can be accessed to get more specific information and who to contact on this?</w:t>
            </w:r>
            <w:r w:rsidR="00BC349B">
              <w:rPr>
                <w:noProof/>
                <w:webHidden/>
              </w:rPr>
              <w:tab/>
            </w:r>
            <w:r w:rsidR="00BC349B">
              <w:rPr>
                <w:noProof/>
                <w:webHidden/>
              </w:rPr>
              <w:fldChar w:fldCharType="begin"/>
            </w:r>
            <w:r w:rsidR="00BC349B">
              <w:rPr>
                <w:noProof/>
                <w:webHidden/>
              </w:rPr>
              <w:instrText xml:space="preserve"> PAGEREF _Toc131144623 \h </w:instrText>
            </w:r>
            <w:r w:rsidR="00BC349B">
              <w:rPr>
                <w:noProof/>
                <w:webHidden/>
              </w:rPr>
            </w:r>
            <w:r w:rsidR="00BC349B">
              <w:rPr>
                <w:noProof/>
                <w:webHidden/>
              </w:rPr>
              <w:fldChar w:fldCharType="separate"/>
            </w:r>
            <w:r w:rsidR="00BC349B">
              <w:rPr>
                <w:noProof/>
                <w:webHidden/>
              </w:rPr>
              <w:t>23</w:t>
            </w:r>
            <w:r w:rsidR="00BC349B">
              <w:rPr>
                <w:noProof/>
                <w:webHidden/>
              </w:rPr>
              <w:fldChar w:fldCharType="end"/>
            </w:r>
          </w:hyperlink>
        </w:p>
        <w:p w14:paraId="7A24FBA6" w14:textId="5C2579C1" w:rsidR="00BC349B" w:rsidRDefault="00000000">
          <w:pPr>
            <w:pStyle w:val="TOC3"/>
            <w:rPr>
              <w:rFonts w:asciiTheme="minorHAnsi" w:eastAsiaTheme="minorEastAsia" w:hAnsiTheme="minorHAnsi" w:cstheme="minorBidi"/>
              <w:b w:val="0"/>
              <w:bCs w:val="0"/>
              <w:sz w:val="22"/>
            </w:rPr>
          </w:pPr>
          <w:hyperlink w:anchor="_Toc131144624" w:history="1">
            <w:r w:rsidR="00BC349B" w:rsidRPr="002B6C02">
              <w:rPr>
                <w:rStyle w:val="Hyperlink"/>
              </w:rPr>
              <w:t>Queensland Human Rights Commission</w:t>
            </w:r>
            <w:r w:rsidR="00BC349B">
              <w:rPr>
                <w:webHidden/>
              </w:rPr>
              <w:tab/>
            </w:r>
            <w:r w:rsidR="00BC349B">
              <w:rPr>
                <w:webHidden/>
              </w:rPr>
              <w:fldChar w:fldCharType="begin"/>
            </w:r>
            <w:r w:rsidR="00BC349B">
              <w:rPr>
                <w:webHidden/>
              </w:rPr>
              <w:instrText xml:space="preserve"> PAGEREF _Toc131144624 \h </w:instrText>
            </w:r>
            <w:r w:rsidR="00BC349B">
              <w:rPr>
                <w:webHidden/>
              </w:rPr>
            </w:r>
            <w:r w:rsidR="00BC349B">
              <w:rPr>
                <w:webHidden/>
              </w:rPr>
              <w:fldChar w:fldCharType="separate"/>
            </w:r>
            <w:r w:rsidR="00BC349B">
              <w:rPr>
                <w:webHidden/>
              </w:rPr>
              <w:t>23</w:t>
            </w:r>
            <w:r w:rsidR="00BC349B">
              <w:rPr>
                <w:webHidden/>
              </w:rPr>
              <w:fldChar w:fldCharType="end"/>
            </w:r>
          </w:hyperlink>
        </w:p>
        <w:p w14:paraId="77D6F73A" w14:textId="7863F883" w:rsidR="00BC349B" w:rsidRDefault="00000000">
          <w:pPr>
            <w:pStyle w:val="TOC3"/>
            <w:rPr>
              <w:rFonts w:asciiTheme="minorHAnsi" w:eastAsiaTheme="minorEastAsia" w:hAnsiTheme="minorHAnsi" w:cstheme="minorBidi"/>
              <w:b w:val="0"/>
              <w:bCs w:val="0"/>
              <w:sz w:val="22"/>
            </w:rPr>
          </w:pPr>
          <w:hyperlink w:anchor="_Toc131144625" w:history="1">
            <w:r w:rsidR="00BC349B" w:rsidRPr="002B6C02">
              <w:rPr>
                <w:rStyle w:val="Hyperlink"/>
              </w:rPr>
              <w:t>Australian Law Reform Commission</w:t>
            </w:r>
            <w:r w:rsidR="00BC349B">
              <w:rPr>
                <w:webHidden/>
              </w:rPr>
              <w:tab/>
            </w:r>
            <w:r w:rsidR="00BC349B">
              <w:rPr>
                <w:webHidden/>
              </w:rPr>
              <w:fldChar w:fldCharType="begin"/>
            </w:r>
            <w:r w:rsidR="00BC349B">
              <w:rPr>
                <w:webHidden/>
              </w:rPr>
              <w:instrText xml:space="preserve"> PAGEREF _Toc131144625 \h </w:instrText>
            </w:r>
            <w:r w:rsidR="00BC349B">
              <w:rPr>
                <w:webHidden/>
              </w:rPr>
            </w:r>
            <w:r w:rsidR="00BC349B">
              <w:rPr>
                <w:webHidden/>
              </w:rPr>
              <w:fldChar w:fldCharType="separate"/>
            </w:r>
            <w:r w:rsidR="00BC349B">
              <w:rPr>
                <w:webHidden/>
              </w:rPr>
              <w:t>23</w:t>
            </w:r>
            <w:r w:rsidR="00BC349B">
              <w:rPr>
                <w:webHidden/>
              </w:rPr>
              <w:fldChar w:fldCharType="end"/>
            </w:r>
          </w:hyperlink>
        </w:p>
        <w:p w14:paraId="0CD769E1" w14:textId="2BF161F1" w:rsidR="00BC349B" w:rsidRDefault="00000000">
          <w:pPr>
            <w:pStyle w:val="TOC3"/>
            <w:rPr>
              <w:rFonts w:asciiTheme="minorHAnsi" w:eastAsiaTheme="minorEastAsia" w:hAnsiTheme="minorHAnsi" w:cstheme="minorBidi"/>
              <w:b w:val="0"/>
              <w:bCs w:val="0"/>
              <w:sz w:val="22"/>
            </w:rPr>
          </w:pPr>
          <w:hyperlink w:anchor="_Toc131144626" w:history="1">
            <w:r w:rsidR="00BC349B" w:rsidRPr="002B6C02">
              <w:rPr>
                <w:rStyle w:val="Hyperlink"/>
              </w:rPr>
              <w:t>Legal Aid Queensland Head Office</w:t>
            </w:r>
            <w:r w:rsidR="00BC349B">
              <w:rPr>
                <w:webHidden/>
              </w:rPr>
              <w:tab/>
            </w:r>
            <w:r w:rsidR="00BC349B">
              <w:rPr>
                <w:webHidden/>
              </w:rPr>
              <w:fldChar w:fldCharType="begin"/>
            </w:r>
            <w:r w:rsidR="00BC349B">
              <w:rPr>
                <w:webHidden/>
              </w:rPr>
              <w:instrText xml:space="preserve"> PAGEREF _Toc131144626 \h </w:instrText>
            </w:r>
            <w:r w:rsidR="00BC349B">
              <w:rPr>
                <w:webHidden/>
              </w:rPr>
            </w:r>
            <w:r w:rsidR="00BC349B">
              <w:rPr>
                <w:webHidden/>
              </w:rPr>
              <w:fldChar w:fldCharType="separate"/>
            </w:r>
            <w:r w:rsidR="00BC349B">
              <w:rPr>
                <w:webHidden/>
              </w:rPr>
              <w:t>24</w:t>
            </w:r>
            <w:r w:rsidR="00BC349B">
              <w:rPr>
                <w:webHidden/>
              </w:rPr>
              <w:fldChar w:fldCharType="end"/>
            </w:r>
          </w:hyperlink>
        </w:p>
        <w:p w14:paraId="3F058F51" w14:textId="515BF869" w:rsidR="00BC349B" w:rsidRDefault="00000000">
          <w:pPr>
            <w:pStyle w:val="TOC3"/>
            <w:rPr>
              <w:rFonts w:asciiTheme="minorHAnsi" w:eastAsiaTheme="minorEastAsia" w:hAnsiTheme="minorHAnsi" w:cstheme="minorBidi"/>
              <w:b w:val="0"/>
              <w:bCs w:val="0"/>
              <w:sz w:val="22"/>
            </w:rPr>
          </w:pPr>
          <w:hyperlink w:anchor="_Toc131144627" w:history="1">
            <w:r w:rsidR="00BC349B" w:rsidRPr="002B6C02">
              <w:rPr>
                <w:rStyle w:val="Hyperlink"/>
              </w:rPr>
              <w:t>Claxton legal</w:t>
            </w:r>
            <w:r w:rsidR="00BC349B">
              <w:rPr>
                <w:webHidden/>
              </w:rPr>
              <w:tab/>
            </w:r>
            <w:r w:rsidR="00BC349B">
              <w:rPr>
                <w:webHidden/>
              </w:rPr>
              <w:fldChar w:fldCharType="begin"/>
            </w:r>
            <w:r w:rsidR="00BC349B">
              <w:rPr>
                <w:webHidden/>
              </w:rPr>
              <w:instrText xml:space="preserve"> PAGEREF _Toc131144627 \h </w:instrText>
            </w:r>
            <w:r w:rsidR="00BC349B">
              <w:rPr>
                <w:webHidden/>
              </w:rPr>
            </w:r>
            <w:r w:rsidR="00BC349B">
              <w:rPr>
                <w:webHidden/>
              </w:rPr>
              <w:fldChar w:fldCharType="separate"/>
            </w:r>
            <w:r w:rsidR="00BC349B">
              <w:rPr>
                <w:webHidden/>
              </w:rPr>
              <w:t>24</w:t>
            </w:r>
            <w:r w:rsidR="00BC349B">
              <w:rPr>
                <w:webHidden/>
              </w:rPr>
              <w:fldChar w:fldCharType="end"/>
            </w:r>
          </w:hyperlink>
        </w:p>
        <w:p w14:paraId="5357E134" w14:textId="01625556" w:rsidR="00BC349B" w:rsidRDefault="00000000">
          <w:pPr>
            <w:pStyle w:val="TOC1"/>
            <w:rPr>
              <w:rFonts w:asciiTheme="minorHAnsi" w:eastAsiaTheme="minorEastAsia" w:hAnsiTheme="minorHAnsi"/>
              <w:b w:val="0"/>
              <w:bCs w:val="0"/>
              <w:sz w:val="22"/>
              <w:lang w:val="en-AU" w:eastAsia="en-AU"/>
            </w:rPr>
          </w:pPr>
          <w:hyperlink w:anchor="_Toc131144628" w:history="1">
            <w:r w:rsidR="00BC349B" w:rsidRPr="002B6C02">
              <w:rPr>
                <w:rStyle w:val="Hyperlink"/>
              </w:rPr>
              <w:t>Legal Pleadings</w:t>
            </w:r>
            <w:r w:rsidR="00BC349B">
              <w:rPr>
                <w:webHidden/>
              </w:rPr>
              <w:tab/>
            </w:r>
            <w:r w:rsidR="00BC349B">
              <w:rPr>
                <w:webHidden/>
              </w:rPr>
              <w:fldChar w:fldCharType="begin"/>
            </w:r>
            <w:r w:rsidR="00BC349B">
              <w:rPr>
                <w:webHidden/>
              </w:rPr>
              <w:instrText xml:space="preserve"> PAGEREF _Toc131144628 \h </w:instrText>
            </w:r>
            <w:r w:rsidR="00BC349B">
              <w:rPr>
                <w:webHidden/>
              </w:rPr>
            </w:r>
            <w:r w:rsidR="00BC349B">
              <w:rPr>
                <w:webHidden/>
              </w:rPr>
              <w:fldChar w:fldCharType="separate"/>
            </w:r>
            <w:r w:rsidR="00BC349B">
              <w:rPr>
                <w:webHidden/>
              </w:rPr>
              <w:t>24</w:t>
            </w:r>
            <w:r w:rsidR="00BC349B">
              <w:rPr>
                <w:webHidden/>
              </w:rPr>
              <w:fldChar w:fldCharType="end"/>
            </w:r>
          </w:hyperlink>
        </w:p>
        <w:p w14:paraId="6D676C5E" w14:textId="5915465F" w:rsidR="00BC349B" w:rsidRDefault="00000000">
          <w:pPr>
            <w:pStyle w:val="TOC1"/>
            <w:rPr>
              <w:rFonts w:asciiTheme="minorHAnsi" w:eastAsiaTheme="minorEastAsia" w:hAnsiTheme="minorHAnsi"/>
              <w:b w:val="0"/>
              <w:bCs w:val="0"/>
              <w:sz w:val="22"/>
              <w:lang w:val="en-AU" w:eastAsia="en-AU"/>
            </w:rPr>
          </w:pPr>
          <w:hyperlink w:anchor="_Toc131144629" w:history="1">
            <w:r w:rsidR="00BC349B" w:rsidRPr="002B6C02">
              <w:rPr>
                <w:rStyle w:val="Hyperlink"/>
              </w:rPr>
              <w:t>Draft Order</w:t>
            </w:r>
            <w:r w:rsidR="00BC349B">
              <w:rPr>
                <w:webHidden/>
              </w:rPr>
              <w:tab/>
            </w:r>
            <w:r w:rsidR="00BC349B">
              <w:rPr>
                <w:webHidden/>
              </w:rPr>
              <w:fldChar w:fldCharType="begin"/>
            </w:r>
            <w:r w:rsidR="00BC349B">
              <w:rPr>
                <w:webHidden/>
              </w:rPr>
              <w:instrText xml:space="preserve"> PAGEREF _Toc131144629 \h </w:instrText>
            </w:r>
            <w:r w:rsidR="00BC349B">
              <w:rPr>
                <w:webHidden/>
              </w:rPr>
            </w:r>
            <w:r w:rsidR="00BC349B">
              <w:rPr>
                <w:webHidden/>
              </w:rPr>
              <w:fldChar w:fldCharType="separate"/>
            </w:r>
            <w:r w:rsidR="00BC349B">
              <w:rPr>
                <w:webHidden/>
              </w:rPr>
              <w:t>27</w:t>
            </w:r>
            <w:r w:rsidR="00BC349B">
              <w:rPr>
                <w:webHidden/>
              </w:rPr>
              <w:fldChar w:fldCharType="end"/>
            </w:r>
          </w:hyperlink>
        </w:p>
        <w:p w14:paraId="33B5423E" w14:textId="597BF38F" w:rsidR="00BC349B" w:rsidRDefault="00000000">
          <w:pPr>
            <w:pStyle w:val="TOC1"/>
            <w:rPr>
              <w:rFonts w:asciiTheme="minorHAnsi" w:eastAsiaTheme="minorEastAsia" w:hAnsiTheme="minorHAnsi"/>
              <w:b w:val="0"/>
              <w:bCs w:val="0"/>
              <w:sz w:val="22"/>
              <w:lang w:val="en-AU" w:eastAsia="en-AU"/>
            </w:rPr>
          </w:pPr>
          <w:hyperlink w:anchor="_Toc131144630" w:history="1">
            <w:r w:rsidR="00BC349B" w:rsidRPr="002B6C02">
              <w:rPr>
                <w:rStyle w:val="Hyperlink"/>
              </w:rPr>
              <w:t>Draft Pleadings</w:t>
            </w:r>
            <w:r w:rsidR="00BC349B">
              <w:rPr>
                <w:webHidden/>
              </w:rPr>
              <w:tab/>
            </w:r>
            <w:r w:rsidR="00BC349B">
              <w:rPr>
                <w:webHidden/>
              </w:rPr>
              <w:fldChar w:fldCharType="begin"/>
            </w:r>
            <w:r w:rsidR="00BC349B">
              <w:rPr>
                <w:webHidden/>
              </w:rPr>
              <w:instrText xml:space="preserve"> PAGEREF _Toc131144630 \h </w:instrText>
            </w:r>
            <w:r w:rsidR="00BC349B">
              <w:rPr>
                <w:webHidden/>
              </w:rPr>
            </w:r>
            <w:r w:rsidR="00BC349B">
              <w:rPr>
                <w:webHidden/>
              </w:rPr>
              <w:fldChar w:fldCharType="separate"/>
            </w:r>
            <w:r w:rsidR="00BC349B">
              <w:rPr>
                <w:webHidden/>
              </w:rPr>
              <w:t>28</w:t>
            </w:r>
            <w:r w:rsidR="00BC349B">
              <w:rPr>
                <w:webHidden/>
              </w:rPr>
              <w:fldChar w:fldCharType="end"/>
            </w:r>
          </w:hyperlink>
        </w:p>
        <w:p w14:paraId="4BBB142C" w14:textId="1E68F27D" w:rsidR="00BC349B" w:rsidRDefault="00000000">
          <w:pPr>
            <w:pStyle w:val="TOC2"/>
            <w:rPr>
              <w:rFonts w:cstheme="minorBidi"/>
              <w:sz w:val="22"/>
              <w:szCs w:val="22"/>
              <w:lang w:val="en-AU" w:eastAsia="en-AU"/>
            </w:rPr>
          </w:pPr>
          <w:hyperlink w:anchor="_Toc131144631" w:history="1">
            <w:r w:rsidR="00BC349B" w:rsidRPr="002B6C02">
              <w:rPr>
                <w:rStyle w:val="Hyperlink"/>
              </w:rPr>
              <w:t>DRAFT HEADS OF ARGUMENT:</w:t>
            </w:r>
            <w:r w:rsidR="00BC349B">
              <w:rPr>
                <w:webHidden/>
              </w:rPr>
              <w:tab/>
            </w:r>
            <w:r w:rsidR="00BC349B">
              <w:rPr>
                <w:webHidden/>
              </w:rPr>
              <w:fldChar w:fldCharType="begin"/>
            </w:r>
            <w:r w:rsidR="00BC349B">
              <w:rPr>
                <w:webHidden/>
              </w:rPr>
              <w:instrText xml:space="preserve"> PAGEREF _Toc131144631 \h </w:instrText>
            </w:r>
            <w:r w:rsidR="00BC349B">
              <w:rPr>
                <w:webHidden/>
              </w:rPr>
            </w:r>
            <w:r w:rsidR="00BC349B">
              <w:rPr>
                <w:webHidden/>
              </w:rPr>
              <w:fldChar w:fldCharType="separate"/>
            </w:r>
            <w:r w:rsidR="00BC349B">
              <w:rPr>
                <w:webHidden/>
              </w:rPr>
              <w:t>28</w:t>
            </w:r>
            <w:r w:rsidR="00BC349B">
              <w:rPr>
                <w:webHidden/>
              </w:rPr>
              <w:fldChar w:fldCharType="end"/>
            </w:r>
          </w:hyperlink>
        </w:p>
        <w:p w14:paraId="6301B90B" w14:textId="0BDDC409" w:rsidR="00BC349B" w:rsidRDefault="00000000">
          <w:pPr>
            <w:pStyle w:val="TOC2"/>
            <w:rPr>
              <w:rFonts w:cstheme="minorBidi"/>
              <w:sz w:val="22"/>
              <w:szCs w:val="22"/>
              <w:lang w:val="en-AU" w:eastAsia="en-AU"/>
            </w:rPr>
          </w:pPr>
          <w:hyperlink w:anchor="_Toc131144632" w:history="1">
            <w:r w:rsidR="00BC349B" w:rsidRPr="002B6C02">
              <w:rPr>
                <w:rStyle w:val="Hyperlink"/>
              </w:rPr>
              <w:t>Other cases referenced and links to evidence</w:t>
            </w:r>
            <w:r w:rsidR="00BC349B">
              <w:rPr>
                <w:webHidden/>
              </w:rPr>
              <w:tab/>
            </w:r>
            <w:r w:rsidR="00BC349B">
              <w:rPr>
                <w:webHidden/>
              </w:rPr>
              <w:fldChar w:fldCharType="begin"/>
            </w:r>
            <w:r w:rsidR="00BC349B">
              <w:rPr>
                <w:webHidden/>
              </w:rPr>
              <w:instrText xml:space="preserve"> PAGEREF _Toc131144632 \h </w:instrText>
            </w:r>
            <w:r w:rsidR="00BC349B">
              <w:rPr>
                <w:webHidden/>
              </w:rPr>
            </w:r>
            <w:r w:rsidR="00BC349B">
              <w:rPr>
                <w:webHidden/>
              </w:rPr>
              <w:fldChar w:fldCharType="separate"/>
            </w:r>
            <w:r w:rsidR="00BC349B">
              <w:rPr>
                <w:webHidden/>
              </w:rPr>
              <w:t>29</w:t>
            </w:r>
            <w:r w:rsidR="00BC349B">
              <w:rPr>
                <w:webHidden/>
              </w:rPr>
              <w:fldChar w:fldCharType="end"/>
            </w:r>
          </w:hyperlink>
        </w:p>
        <w:p w14:paraId="5424CBC3" w14:textId="4D518060" w:rsidR="00BC349B" w:rsidRDefault="00000000">
          <w:pPr>
            <w:pStyle w:val="TOC1"/>
            <w:rPr>
              <w:rFonts w:asciiTheme="minorHAnsi" w:eastAsiaTheme="minorEastAsia" w:hAnsiTheme="minorHAnsi"/>
              <w:b w:val="0"/>
              <w:bCs w:val="0"/>
              <w:sz w:val="22"/>
              <w:lang w:val="en-AU" w:eastAsia="en-AU"/>
            </w:rPr>
          </w:pPr>
          <w:hyperlink w:anchor="_Toc131144633" w:history="1">
            <w:r w:rsidR="00BC349B" w:rsidRPr="002B6C02">
              <w:rPr>
                <w:rStyle w:val="Hyperlink"/>
                <w:rFonts w:ascii="Segoe UI" w:hAnsi="Segoe UI" w:cs="Segoe UI"/>
              </w:rPr>
              <w:t>Australia’s commitment to human rights</w:t>
            </w:r>
            <w:r w:rsidR="00BC349B">
              <w:rPr>
                <w:webHidden/>
              </w:rPr>
              <w:tab/>
            </w:r>
            <w:r w:rsidR="00BC349B">
              <w:rPr>
                <w:webHidden/>
              </w:rPr>
              <w:fldChar w:fldCharType="begin"/>
            </w:r>
            <w:r w:rsidR="00BC349B">
              <w:rPr>
                <w:webHidden/>
              </w:rPr>
              <w:instrText xml:space="preserve"> PAGEREF _Toc131144633 \h </w:instrText>
            </w:r>
            <w:r w:rsidR="00BC349B">
              <w:rPr>
                <w:webHidden/>
              </w:rPr>
            </w:r>
            <w:r w:rsidR="00BC349B">
              <w:rPr>
                <w:webHidden/>
              </w:rPr>
              <w:fldChar w:fldCharType="separate"/>
            </w:r>
            <w:r w:rsidR="00BC349B">
              <w:rPr>
                <w:webHidden/>
              </w:rPr>
              <w:t>29</w:t>
            </w:r>
            <w:r w:rsidR="00BC349B">
              <w:rPr>
                <w:webHidden/>
              </w:rPr>
              <w:fldChar w:fldCharType="end"/>
            </w:r>
          </w:hyperlink>
        </w:p>
        <w:p w14:paraId="22A9DFD8" w14:textId="6033217C" w:rsidR="00BC349B" w:rsidRDefault="00000000">
          <w:pPr>
            <w:pStyle w:val="TOC2"/>
            <w:rPr>
              <w:rFonts w:cstheme="minorBidi"/>
              <w:sz w:val="22"/>
              <w:szCs w:val="22"/>
              <w:lang w:val="en-AU" w:eastAsia="en-AU"/>
            </w:rPr>
          </w:pPr>
          <w:hyperlink w:anchor="_Toc131144634" w:history="1">
            <w:r w:rsidR="00BC349B" w:rsidRPr="002B6C02">
              <w:rPr>
                <w:rStyle w:val="Hyperlink"/>
                <w:rFonts w:ascii="Segoe UI" w:hAnsi="Segoe UI" w:cs="Segoe UI"/>
              </w:rPr>
              <w:t>Australia promotes and protects human rights at home and abroad</w:t>
            </w:r>
            <w:r w:rsidR="00BC349B">
              <w:rPr>
                <w:webHidden/>
              </w:rPr>
              <w:tab/>
            </w:r>
            <w:r w:rsidR="00BC349B">
              <w:rPr>
                <w:webHidden/>
              </w:rPr>
              <w:fldChar w:fldCharType="begin"/>
            </w:r>
            <w:r w:rsidR="00BC349B">
              <w:rPr>
                <w:webHidden/>
              </w:rPr>
              <w:instrText xml:space="preserve"> PAGEREF _Toc131144634 \h </w:instrText>
            </w:r>
            <w:r w:rsidR="00BC349B">
              <w:rPr>
                <w:webHidden/>
              </w:rPr>
            </w:r>
            <w:r w:rsidR="00BC349B">
              <w:rPr>
                <w:webHidden/>
              </w:rPr>
              <w:fldChar w:fldCharType="separate"/>
            </w:r>
            <w:r w:rsidR="00BC349B">
              <w:rPr>
                <w:webHidden/>
              </w:rPr>
              <w:t>30</w:t>
            </w:r>
            <w:r w:rsidR="00BC349B">
              <w:rPr>
                <w:webHidden/>
              </w:rPr>
              <w:fldChar w:fldCharType="end"/>
            </w:r>
          </w:hyperlink>
        </w:p>
        <w:p w14:paraId="69FD1970" w14:textId="0AFBE0C3" w:rsidR="00BC349B" w:rsidRDefault="00000000">
          <w:pPr>
            <w:pStyle w:val="TOC2"/>
            <w:rPr>
              <w:rFonts w:cstheme="minorBidi"/>
              <w:sz w:val="22"/>
              <w:szCs w:val="22"/>
              <w:lang w:val="en-AU" w:eastAsia="en-AU"/>
            </w:rPr>
          </w:pPr>
          <w:hyperlink w:anchor="_Toc131144635" w:history="1">
            <w:r w:rsidR="00BC349B" w:rsidRPr="002B6C02">
              <w:rPr>
                <w:rStyle w:val="Hyperlink"/>
                <w:rFonts w:ascii="Segoe UI" w:hAnsi="Segoe UI" w:cs="Segoe UI"/>
              </w:rPr>
              <w:t>Australia’s Multilateral Human Rights Engagement</w:t>
            </w:r>
            <w:r w:rsidR="00BC349B">
              <w:rPr>
                <w:webHidden/>
              </w:rPr>
              <w:tab/>
            </w:r>
            <w:r w:rsidR="00BC349B">
              <w:rPr>
                <w:webHidden/>
              </w:rPr>
              <w:fldChar w:fldCharType="begin"/>
            </w:r>
            <w:r w:rsidR="00BC349B">
              <w:rPr>
                <w:webHidden/>
              </w:rPr>
              <w:instrText xml:space="preserve"> PAGEREF _Toc131144635 \h </w:instrText>
            </w:r>
            <w:r w:rsidR="00BC349B">
              <w:rPr>
                <w:webHidden/>
              </w:rPr>
            </w:r>
            <w:r w:rsidR="00BC349B">
              <w:rPr>
                <w:webHidden/>
              </w:rPr>
              <w:fldChar w:fldCharType="separate"/>
            </w:r>
            <w:r w:rsidR="00BC349B">
              <w:rPr>
                <w:webHidden/>
              </w:rPr>
              <w:t>30</w:t>
            </w:r>
            <w:r w:rsidR="00BC349B">
              <w:rPr>
                <w:webHidden/>
              </w:rPr>
              <w:fldChar w:fldCharType="end"/>
            </w:r>
          </w:hyperlink>
        </w:p>
        <w:p w14:paraId="2DC5D1D4" w14:textId="69449127" w:rsidR="00BC349B" w:rsidRDefault="00000000">
          <w:pPr>
            <w:pStyle w:val="TOC2"/>
            <w:rPr>
              <w:rFonts w:cstheme="minorBidi"/>
              <w:sz w:val="22"/>
              <w:szCs w:val="22"/>
              <w:lang w:val="en-AU" w:eastAsia="en-AU"/>
            </w:rPr>
          </w:pPr>
          <w:hyperlink w:anchor="_Toc131144636" w:history="1">
            <w:r w:rsidR="00BC349B" w:rsidRPr="002B6C02">
              <w:rPr>
                <w:rStyle w:val="Hyperlink"/>
                <w:rFonts w:ascii="Segoe UI" w:hAnsi="Segoe UI" w:cs="Segoe UI"/>
              </w:rPr>
              <w:t>COVID-19 and Human Rights</w:t>
            </w:r>
            <w:r w:rsidR="00BC349B">
              <w:rPr>
                <w:webHidden/>
              </w:rPr>
              <w:tab/>
            </w:r>
            <w:r w:rsidR="00BC349B">
              <w:rPr>
                <w:webHidden/>
              </w:rPr>
              <w:fldChar w:fldCharType="begin"/>
            </w:r>
            <w:r w:rsidR="00BC349B">
              <w:rPr>
                <w:webHidden/>
              </w:rPr>
              <w:instrText xml:space="preserve"> PAGEREF _Toc131144636 \h </w:instrText>
            </w:r>
            <w:r w:rsidR="00BC349B">
              <w:rPr>
                <w:webHidden/>
              </w:rPr>
            </w:r>
            <w:r w:rsidR="00BC349B">
              <w:rPr>
                <w:webHidden/>
              </w:rPr>
              <w:fldChar w:fldCharType="separate"/>
            </w:r>
            <w:r w:rsidR="00BC349B">
              <w:rPr>
                <w:webHidden/>
              </w:rPr>
              <w:t>30</w:t>
            </w:r>
            <w:r w:rsidR="00BC349B">
              <w:rPr>
                <w:webHidden/>
              </w:rPr>
              <w:fldChar w:fldCharType="end"/>
            </w:r>
          </w:hyperlink>
        </w:p>
        <w:p w14:paraId="190F7A53" w14:textId="2EC74323" w:rsidR="00BC349B" w:rsidRDefault="00000000">
          <w:pPr>
            <w:pStyle w:val="TOC2"/>
            <w:rPr>
              <w:rFonts w:cstheme="minorBidi"/>
              <w:sz w:val="22"/>
              <w:szCs w:val="22"/>
              <w:lang w:val="en-AU" w:eastAsia="en-AU"/>
            </w:rPr>
          </w:pPr>
          <w:hyperlink w:anchor="_Toc131144637" w:history="1">
            <w:r w:rsidR="00BC349B" w:rsidRPr="002B6C02">
              <w:rPr>
                <w:rStyle w:val="Hyperlink"/>
                <w:rFonts w:ascii="Segoe UI" w:hAnsi="Segoe UI" w:cs="Segoe UI"/>
              </w:rPr>
              <w:t>Australia on the Human Rights Council 2018-2020</w:t>
            </w:r>
            <w:r w:rsidR="00BC349B">
              <w:rPr>
                <w:webHidden/>
              </w:rPr>
              <w:tab/>
            </w:r>
            <w:r w:rsidR="00BC349B">
              <w:rPr>
                <w:webHidden/>
              </w:rPr>
              <w:fldChar w:fldCharType="begin"/>
            </w:r>
            <w:r w:rsidR="00BC349B">
              <w:rPr>
                <w:webHidden/>
              </w:rPr>
              <w:instrText xml:space="preserve"> PAGEREF _Toc131144637 \h </w:instrText>
            </w:r>
            <w:r w:rsidR="00BC349B">
              <w:rPr>
                <w:webHidden/>
              </w:rPr>
            </w:r>
            <w:r w:rsidR="00BC349B">
              <w:rPr>
                <w:webHidden/>
              </w:rPr>
              <w:fldChar w:fldCharType="separate"/>
            </w:r>
            <w:r w:rsidR="00BC349B">
              <w:rPr>
                <w:webHidden/>
              </w:rPr>
              <w:t>31</w:t>
            </w:r>
            <w:r w:rsidR="00BC349B">
              <w:rPr>
                <w:webHidden/>
              </w:rPr>
              <w:fldChar w:fldCharType="end"/>
            </w:r>
          </w:hyperlink>
        </w:p>
        <w:p w14:paraId="01D4807F" w14:textId="7354F615" w:rsidR="00BC349B" w:rsidRDefault="00000000">
          <w:pPr>
            <w:pStyle w:val="TOC1"/>
            <w:rPr>
              <w:rFonts w:asciiTheme="minorHAnsi" w:eastAsiaTheme="minorEastAsia" w:hAnsiTheme="minorHAnsi"/>
              <w:b w:val="0"/>
              <w:bCs w:val="0"/>
              <w:sz w:val="22"/>
              <w:lang w:val="en-AU" w:eastAsia="en-AU"/>
            </w:rPr>
          </w:pPr>
          <w:hyperlink w:anchor="_Toc131144638" w:history="1">
            <w:r w:rsidR="00BC349B" w:rsidRPr="002B6C02">
              <w:rPr>
                <w:rStyle w:val="Hyperlink"/>
              </w:rPr>
              <w:t>Australian Attorney General Department</w:t>
            </w:r>
            <w:r w:rsidR="00BC349B">
              <w:rPr>
                <w:webHidden/>
              </w:rPr>
              <w:tab/>
            </w:r>
            <w:r w:rsidR="00BC349B">
              <w:rPr>
                <w:webHidden/>
              </w:rPr>
              <w:fldChar w:fldCharType="begin"/>
            </w:r>
            <w:r w:rsidR="00BC349B">
              <w:rPr>
                <w:webHidden/>
              </w:rPr>
              <w:instrText xml:space="preserve"> PAGEREF _Toc131144638 \h </w:instrText>
            </w:r>
            <w:r w:rsidR="00BC349B">
              <w:rPr>
                <w:webHidden/>
              </w:rPr>
            </w:r>
            <w:r w:rsidR="00BC349B">
              <w:rPr>
                <w:webHidden/>
              </w:rPr>
              <w:fldChar w:fldCharType="separate"/>
            </w:r>
            <w:r w:rsidR="00BC349B">
              <w:rPr>
                <w:webHidden/>
              </w:rPr>
              <w:t>31</w:t>
            </w:r>
            <w:r w:rsidR="00BC349B">
              <w:rPr>
                <w:webHidden/>
              </w:rPr>
              <w:fldChar w:fldCharType="end"/>
            </w:r>
          </w:hyperlink>
        </w:p>
        <w:p w14:paraId="50524068" w14:textId="27BB8A0A" w:rsidR="00BC349B" w:rsidRDefault="00000000">
          <w:pPr>
            <w:pStyle w:val="TOC1"/>
            <w:rPr>
              <w:rFonts w:asciiTheme="minorHAnsi" w:eastAsiaTheme="minorEastAsia" w:hAnsiTheme="minorHAnsi"/>
              <w:b w:val="0"/>
              <w:bCs w:val="0"/>
              <w:sz w:val="22"/>
              <w:lang w:val="en-AU" w:eastAsia="en-AU"/>
            </w:rPr>
          </w:pPr>
          <w:hyperlink w:anchor="_Toc131144639" w:history="1">
            <w:r w:rsidR="00BC349B" w:rsidRPr="002B6C02">
              <w:rPr>
                <w:rStyle w:val="Hyperlink"/>
                <w:rFonts w:ascii="Open Sans" w:hAnsi="Open Sans" w:cs="Open Sans"/>
              </w:rPr>
              <w:t>Right to freedom of opinion and expression</w:t>
            </w:r>
            <w:r w:rsidR="00BC349B">
              <w:rPr>
                <w:webHidden/>
              </w:rPr>
              <w:tab/>
            </w:r>
            <w:r w:rsidR="00BC349B">
              <w:rPr>
                <w:webHidden/>
              </w:rPr>
              <w:fldChar w:fldCharType="begin"/>
            </w:r>
            <w:r w:rsidR="00BC349B">
              <w:rPr>
                <w:webHidden/>
              </w:rPr>
              <w:instrText xml:space="preserve"> PAGEREF _Toc131144639 \h </w:instrText>
            </w:r>
            <w:r w:rsidR="00BC349B">
              <w:rPr>
                <w:webHidden/>
              </w:rPr>
            </w:r>
            <w:r w:rsidR="00BC349B">
              <w:rPr>
                <w:webHidden/>
              </w:rPr>
              <w:fldChar w:fldCharType="separate"/>
            </w:r>
            <w:r w:rsidR="00BC349B">
              <w:rPr>
                <w:webHidden/>
              </w:rPr>
              <w:t>31</w:t>
            </w:r>
            <w:r w:rsidR="00BC349B">
              <w:rPr>
                <w:webHidden/>
              </w:rPr>
              <w:fldChar w:fldCharType="end"/>
            </w:r>
          </w:hyperlink>
        </w:p>
        <w:p w14:paraId="7E7DBF6E" w14:textId="2C791078" w:rsidR="00BC349B" w:rsidRDefault="00000000">
          <w:pPr>
            <w:pStyle w:val="TOC2"/>
            <w:rPr>
              <w:rFonts w:cstheme="minorBidi"/>
              <w:sz w:val="22"/>
              <w:szCs w:val="22"/>
              <w:lang w:val="en-AU" w:eastAsia="en-AU"/>
            </w:rPr>
          </w:pPr>
          <w:hyperlink w:anchor="_Toc131144640" w:history="1">
            <w:r w:rsidR="00BC349B" w:rsidRPr="002B6C02">
              <w:rPr>
                <w:rStyle w:val="Hyperlink"/>
                <w:rFonts w:ascii="Open Sans" w:hAnsi="Open Sans" w:cs="Open Sans"/>
              </w:rPr>
              <w:t>What is the right to freedom of opinion and expression?</w:t>
            </w:r>
            <w:r w:rsidR="00BC349B">
              <w:rPr>
                <w:webHidden/>
              </w:rPr>
              <w:tab/>
            </w:r>
            <w:r w:rsidR="00BC349B">
              <w:rPr>
                <w:webHidden/>
              </w:rPr>
              <w:fldChar w:fldCharType="begin"/>
            </w:r>
            <w:r w:rsidR="00BC349B">
              <w:rPr>
                <w:webHidden/>
              </w:rPr>
              <w:instrText xml:space="preserve"> PAGEREF _Toc131144640 \h </w:instrText>
            </w:r>
            <w:r w:rsidR="00BC349B">
              <w:rPr>
                <w:webHidden/>
              </w:rPr>
            </w:r>
            <w:r w:rsidR="00BC349B">
              <w:rPr>
                <w:webHidden/>
              </w:rPr>
              <w:fldChar w:fldCharType="separate"/>
            </w:r>
            <w:r w:rsidR="00BC349B">
              <w:rPr>
                <w:webHidden/>
              </w:rPr>
              <w:t>32</w:t>
            </w:r>
            <w:r w:rsidR="00BC349B">
              <w:rPr>
                <w:webHidden/>
              </w:rPr>
              <w:fldChar w:fldCharType="end"/>
            </w:r>
          </w:hyperlink>
        </w:p>
        <w:p w14:paraId="3925D426" w14:textId="41D2A745" w:rsidR="00BC349B" w:rsidRDefault="00000000">
          <w:pPr>
            <w:pStyle w:val="TOC2"/>
            <w:rPr>
              <w:rFonts w:cstheme="minorBidi"/>
              <w:sz w:val="22"/>
              <w:szCs w:val="22"/>
              <w:lang w:val="en-AU" w:eastAsia="en-AU"/>
            </w:rPr>
          </w:pPr>
          <w:hyperlink w:anchor="_Toc131144641" w:history="1">
            <w:r w:rsidR="00BC349B" w:rsidRPr="002B6C02">
              <w:rPr>
                <w:rStyle w:val="Hyperlink"/>
                <w:rFonts w:ascii="Open Sans" w:hAnsi="Open Sans" w:cs="Open Sans"/>
              </w:rPr>
              <w:t>Where does the right to freedom of opinion and expression come from?</w:t>
            </w:r>
            <w:r w:rsidR="00BC349B">
              <w:rPr>
                <w:webHidden/>
              </w:rPr>
              <w:tab/>
            </w:r>
            <w:r w:rsidR="00BC349B">
              <w:rPr>
                <w:webHidden/>
              </w:rPr>
              <w:fldChar w:fldCharType="begin"/>
            </w:r>
            <w:r w:rsidR="00BC349B">
              <w:rPr>
                <w:webHidden/>
              </w:rPr>
              <w:instrText xml:space="preserve"> PAGEREF _Toc131144641 \h </w:instrText>
            </w:r>
            <w:r w:rsidR="00BC349B">
              <w:rPr>
                <w:webHidden/>
              </w:rPr>
            </w:r>
            <w:r w:rsidR="00BC349B">
              <w:rPr>
                <w:webHidden/>
              </w:rPr>
              <w:fldChar w:fldCharType="separate"/>
            </w:r>
            <w:r w:rsidR="00BC349B">
              <w:rPr>
                <w:webHidden/>
              </w:rPr>
              <w:t>32</w:t>
            </w:r>
            <w:r w:rsidR="00BC349B">
              <w:rPr>
                <w:webHidden/>
              </w:rPr>
              <w:fldChar w:fldCharType="end"/>
            </w:r>
          </w:hyperlink>
        </w:p>
        <w:p w14:paraId="7B4892F0" w14:textId="2D4A2909" w:rsidR="00BC349B" w:rsidRDefault="00000000">
          <w:pPr>
            <w:pStyle w:val="TOC2"/>
            <w:rPr>
              <w:rFonts w:cstheme="minorBidi"/>
              <w:sz w:val="22"/>
              <w:szCs w:val="22"/>
              <w:lang w:val="en-AU" w:eastAsia="en-AU"/>
            </w:rPr>
          </w:pPr>
          <w:hyperlink w:anchor="_Toc131144642" w:history="1">
            <w:r w:rsidR="00BC349B" w:rsidRPr="002B6C02">
              <w:rPr>
                <w:rStyle w:val="Hyperlink"/>
                <w:rFonts w:ascii="Open Sans" w:hAnsi="Open Sans" w:cs="Open Sans"/>
              </w:rPr>
              <w:t>When do I need to consider the right to freedom of opinion and expression?</w:t>
            </w:r>
            <w:r w:rsidR="00BC349B">
              <w:rPr>
                <w:webHidden/>
              </w:rPr>
              <w:tab/>
            </w:r>
            <w:r w:rsidR="00BC349B">
              <w:rPr>
                <w:webHidden/>
              </w:rPr>
              <w:fldChar w:fldCharType="begin"/>
            </w:r>
            <w:r w:rsidR="00BC349B">
              <w:rPr>
                <w:webHidden/>
              </w:rPr>
              <w:instrText xml:space="preserve"> PAGEREF _Toc131144642 \h </w:instrText>
            </w:r>
            <w:r w:rsidR="00BC349B">
              <w:rPr>
                <w:webHidden/>
              </w:rPr>
            </w:r>
            <w:r w:rsidR="00BC349B">
              <w:rPr>
                <w:webHidden/>
              </w:rPr>
              <w:fldChar w:fldCharType="separate"/>
            </w:r>
            <w:r w:rsidR="00BC349B">
              <w:rPr>
                <w:webHidden/>
              </w:rPr>
              <w:t>32</w:t>
            </w:r>
            <w:r w:rsidR="00BC349B">
              <w:rPr>
                <w:webHidden/>
              </w:rPr>
              <w:fldChar w:fldCharType="end"/>
            </w:r>
          </w:hyperlink>
        </w:p>
        <w:p w14:paraId="2A39F8ED" w14:textId="710E5E8F" w:rsidR="00BC349B" w:rsidRDefault="00000000">
          <w:pPr>
            <w:pStyle w:val="TOC2"/>
            <w:rPr>
              <w:rFonts w:cstheme="minorBidi"/>
              <w:sz w:val="22"/>
              <w:szCs w:val="22"/>
              <w:lang w:val="en-AU" w:eastAsia="en-AU"/>
            </w:rPr>
          </w:pPr>
          <w:hyperlink w:anchor="_Toc131144643" w:history="1">
            <w:r w:rsidR="00BC349B" w:rsidRPr="002B6C02">
              <w:rPr>
                <w:rStyle w:val="Hyperlink"/>
                <w:rFonts w:ascii="Open Sans" w:hAnsi="Open Sans" w:cs="Open Sans"/>
              </w:rPr>
              <w:t>What is the scope of the right to freedom of opinion and expression?</w:t>
            </w:r>
            <w:r w:rsidR="00BC349B">
              <w:rPr>
                <w:webHidden/>
              </w:rPr>
              <w:tab/>
            </w:r>
            <w:r w:rsidR="00BC349B">
              <w:rPr>
                <w:webHidden/>
              </w:rPr>
              <w:fldChar w:fldCharType="begin"/>
            </w:r>
            <w:r w:rsidR="00BC349B">
              <w:rPr>
                <w:webHidden/>
              </w:rPr>
              <w:instrText xml:space="preserve"> PAGEREF _Toc131144643 \h </w:instrText>
            </w:r>
            <w:r w:rsidR="00BC349B">
              <w:rPr>
                <w:webHidden/>
              </w:rPr>
            </w:r>
            <w:r w:rsidR="00BC349B">
              <w:rPr>
                <w:webHidden/>
              </w:rPr>
              <w:fldChar w:fldCharType="separate"/>
            </w:r>
            <w:r w:rsidR="00BC349B">
              <w:rPr>
                <w:webHidden/>
              </w:rPr>
              <w:t>33</w:t>
            </w:r>
            <w:r w:rsidR="00BC349B">
              <w:rPr>
                <w:webHidden/>
              </w:rPr>
              <w:fldChar w:fldCharType="end"/>
            </w:r>
          </w:hyperlink>
        </w:p>
        <w:p w14:paraId="0D0F59C4" w14:textId="103DFFE4" w:rsidR="00BC349B" w:rsidRDefault="00000000">
          <w:pPr>
            <w:pStyle w:val="TOC2"/>
            <w:rPr>
              <w:rFonts w:cstheme="minorBidi"/>
              <w:sz w:val="22"/>
              <w:szCs w:val="22"/>
              <w:lang w:val="en-AU" w:eastAsia="en-AU"/>
            </w:rPr>
          </w:pPr>
          <w:hyperlink w:anchor="_Toc131144644" w:history="1">
            <w:r w:rsidR="00BC349B" w:rsidRPr="002B6C02">
              <w:rPr>
                <w:rStyle w:val="Hyperlink"/>
                <w:rFonts w:ascii="Open Sans" w:hAnsi="Open Sans" w:cs="Open Sans"/>
              </w:rPr>
              <w:t>What is the scope of the requirement to prohibit advocacy of hatred that constitutes incitement to discrimination?</w:t>
            </w:r>
            <w:r w:rsidR="00BC349B">
              <w:rPr>
                <w:webHidden/>
              </w:rPr>
              <w:tab/>
            </w:r>
            <w:r w:rsidR="00BC349B">
              <w:rPr>
                <w:webHidden/>
              </w:rPr>
              <w:fldChar w:fldCharType="begin"/>
            </w:r>
            <w:r w:rsidR="00BC349B">
              <w:rPr>
                <w:webHidden/>
              </w:rPr>
              <w:instrText xml:space="preserve"> PAGEREF _Toc131144644 \h </w:instrText>
            </w:r>
            <w:r w:rsidR="00BC349B">
              <w:rPr>
                <w:webHidden/>
              </w:rPr>
            </w:r>
            <w:r w:rsidR="00BC349B">
              <w:rPr>
                <w:webHidden/>
              </w:rPr>
              <w:fldChar w:fldCharType="separate"/>
            </w:r>
            <w:r w:rsidR="00BC349B">
              <w:rPr>
                <w:webHidden/>
              </w:rPr>
              <w:t>34</w:t>
            </w:r>
            <w:r w:rsidR="00BC349B">
              <w:rPr>
                <w:webHidden/>
              </w:rPr>
              <w:fldChar w:fldCharType="end"/>
            </w:r>
          </w:hyperlink>
        </w:p>
        <w:p w14:paraId="20F37A7D" w14:textId="3A3C59E4" w:rsidR="00BC349B" w:rsidRDefault="00000000">
          <w:pPr>
            <w:pStyle w:val="TOC2"/>
            <w:rPr>
              <w:rFonts w:cstheme="minorBidi"/>
              <w:sz w:val="22"/>
              <w:szCs w:val="22"/>
              <w:lang w:val="en-AU" w:eastAsia="en-AU"/>
            </w:rPr>
          </w:pPr>
          <w:hyperlink w:anchor="_Toc131144645" w:history="1">
            <w:r w:rsidR="00BC349B" w:rsidRPr="002B6C02">
              <w:rPr>
                <w:rStyle w:val="Hyperlink"/>
                <w:rFonts w:ascii="Open Sans" w:hAnsi="Open Sans" w:cs="Open Sans"/>
              </w:rPr>
              <w:t>Can the right to freedom of opinion and expression be limited?</w:t>
            </w:r>
            <w:r w:rsidR="00BC349B">
              <w:rPr>
                <w:webHidden/>
              </w:rPr>
              <w:tab/>
            </w:r>
            <w:r w:rsidR="00BC349B">
              <w:rPr>
                <w:webHidden/>
              </w:rPr>
              <w:fldChar w:fldCharType="begin"/>
            </w:r>
            <w:r w:rsidR="00BC349B">
              <w:rPr>
                <w:webHidden/>
              </w:rPr>
              <w:instrText xml:space="preserve"> PAGEREF _Toc131144645 \h </w:instrText>
            </w:r>
            <w:r w:rsidR="00BC349B">
              <w:rPr>
                <w:webHidden/>
              </w:rPr>
            </w:r>
            <w:r w:rsidR="00BC349B">
              <w:rPr>
                <w:webHidden/>
              </w:rPr>
              <w:fldChar w:fldCharType="separate"/>
            </w:r>
            <w:r w:rsidR="00BC349B">
              <w:rPr>
                <w:webHidden/>
              </w:rPr>
              <w:t>34</w:t>
            </w:r>
            <w:r w:rsidR="00BC349B">
              <w:rPr>
                <w:webHidden/>
              </w:rPr>
              <w:fldChar w:fldCharType="end"/>
            </w:r>
          </w:hyperlink>
        </w:p>
        <w:p w14:paraId="37AECF6C" w14:textId="24D29C52" w:rsidR="00BC349B" w:rsidRDefault="00000000">
          <w:pPr>
            <w:pStyle w:val="TOC3"/>
            <w:rPr>
              <w:rFonts w:asciiTheme="minorHAnsi" w:eastAsiaTheme="minorEastAsia" w:hAnsiTheme="minorHAnsi" w:cstheme="minorBidi"/>
              <w:b w:val="0"/>
              <w:bCs w:val="0"/>
              <w:sz w:val="22"/>
            </w:rPr>
          </w:pPr>
          <w:hyperlink w:anchor="_Toc131144646" w:history="1">
            <w:r w:rsidR="00BC349B" w:rsidRPr="002B6C02">
              <w:rPr>
                <w:rStyle w:val="Hyperlink"/>
                <w:rFonts w:ascii="Open Sans" w:hAnsi="Open Sans" w:cs="Open Sans"/>
              </w:rPr>
              <w:t>Derogation</w:t>
            </w:r>
            <w:r w:rsidR="00BC349B">
              <w:rPr>
                <w:webHidden/>
              </w:rPr>
              <w:tab/>
            </w:r>
            <w:r w:rsidR="00BC349B">
              <w:rPr>
                <w:webHidden/>
              </w:rPr>
              <w:fldChar w:fldCharType="begin"/>
            </w:r>
            <w:r w:rsidR="00BC349B">
              <w:rPr>
                <w:webHidden/>
              </w:rPr>
              <w:instrText xml:space="preserve"> PAGEREF _Toc131144646 \h </w:instrText>
            </w:r>
            <w:r w:rsidR="00BC349B">
              <w:rPr>
                <w:webHidden/>
              </w:rPr>
            </w:r>
            <w:r w:rsidR="00BC349B">
              <w:rPr>
                <w:webHidden/>
              </w:rPr>
              <w:fldChar w:fldCharType="separate"/>
            </w:r>
            <w:r w:rsidR="00BC349B">
              <w:rPr>
                <w:webHidden/>
              </w:rPr>
              <w:t>34</w:t>
            </w:r>
            <w:r w:rsidR="00BC349B">
              <w:rPr>
                <w:webHidden/>
              </w:rPr>
              <w:fldChar w:fldCharType="end"/>
            </w:r>
          </w:hyperlink>
        </w:p>
        <w:p w14:paraId="48583D0C" w14:textId="74E7F45C" w:rsidR="00BC349B" w:rsidRDefault="00000000">
          <w:pPr>
            <w:pStyle w:val="TOC3"/>
            <w:rPr>
              <w:rFonts w:asciiTheme="minorHAnsi" w:eastAsiaTheme="minorEastAsia" w:hAnsiTheme="minorHAnsi" w:cstheme="minorBidi"/>
              <w:b w:val="0"/>
              <w:bCs w:val="0"/>
              <w:sz w:val="22"/>
            </w:rPr>
          </w:pPr>
          <w:hyperlink w:anchor="_Toc131144647" w:history="1">
            <w:r w:rsidR="00BC349B" w:rsidRPr="002B6C02">
              <w:rPr>
                <w:rStyle w:val="Hyperlink"/>
                <w:rFonts w:ascii="Open Sans" w:hAnsi="Open Sans" w:cs="Open Sans"/>
              </w:rPr>
              <w:t>Limitation</w:t>
            </w:r>
            <w:r w:rsidR="00BC349B">
              <w:rPr>
                <w:webHidden/>
              </w:rPr>
              <w:tab/>
            </w:r>
            <w:r w:rsidR="00BC349B">
              <w:rPr>
                <w:webHidden/>
              </w:rPr>
              <w:fldChar w:fldCharType="begin"/>
            </w:r>
            <w:r w:rsidR="00BC349B">
              <w:rPr>
                <w:webHidden/>
              </w:rPr>
              <w:instrText xml:space="preserve"> PAGEREF _Toc131144647 \h </w:instrText>
            </w:r>
            <w:r w:rsidR="00BC349B">
              <w:rPr>
                <w:webHidden/>
              </w:rPr>
            </w:r>
            <w:r w:rsidR="00BC349B">
              <w:rPr>
                <w:webHidden/>
              </w:rPr>
              <w:fldChar w:fldCharType="separate"/>
            </w:r>
            <w:r w:rsidR="00BC349B">
              <w:rPr>
                <w:webHidden/>
              </w:rPr>
              <w:t>35</w:t>
            </w:r>
            <w:r w:rsidR="00BC349B">
              <w:rPr>
                <w:webHidden/>
              </w:rPr>
              <w:fldChar w:fldCharType="end"/>
            </w:r>
          </w:hyperlink>
        </w:p>
        <w:p w14:paraId="7C2AD4E4" w14:textId="041AB7BD" w:rsidR="00BC349B" w:rsidRDefault="00000000">
          <w:pPr>
            <w:pStyle w:val="TOC3"/>
            <w:rPr>
              <w:rFonts w:asciiTheme="minorHAnsi" w:eastAsiaTheme="minorEastAsia" w:hAnsiTheme="minorHAnsi" w:cstheme="minorBidi"/>
              <w:b w:val="0"/>
              <w:bCs w:val="0"/>
              <w:sz w:val="22"/>
            </w:rPr>
          </w:pPr>
          <w:hyperlink w:anchor="_Toc131144648" w:history="1">
            <w:r w:rsidR="00BC349B" w:rsidRPr="002B6C02">
              <w:rPr>
                <w:rStyle w:val="Hyperlink"/>
                <w:rFonts w:ascii="Open Sans" w:hAnsi="Open Sans" w:cs="Open Sans"/>
              </w:rPr>
              <w:t>Rights of reputation of others</w:t>
            </w:r>
            <w:r w:rsidR="00BC349B">
              <w:rPr>
                <w:webHidden/>
              </w:rPr>
              <w:tab/>
            </w:r>
            <w:r w:rsidR="00BC349B">
              <w:rPr>
                <w:webHidden/>
              </w:rPr>
              <w:fldChar w:fldCharType="begin"/>
            </w:r>
            <w:r w:rsidR="00BC349B">
              <w:rPr>
                <w:webHidden/>
              </w:rPr>
              <w:instrText xml:space="preserve"> PAGEREF _Toc131144648 \h </w:instrText>
            </w:r>
            <w:r w:rsidR="00BC349B">
              <w:rPr>
                <w:webHidden/>
              </w:rPr>
            </w:r>
            <w:r w:rsidR="00BC349B">
              <w:rPr>
                <w:webHidden/>
              </w:rPr>
              <w:fldChar w:fldCharType="separate"/>
            </w:r>
            <w:r w:rsidR="00BC349B">
              <w:rPr>
                <w:webHidden/>
              </w:rPr>
              <w:t>35</w:t>
            </w:r>
            <w:r w:rsidR="00BC349B">
              <w:rPr>
                <w:webHidden/>
              </w:rPr>
              <w:fldChar w:fldCharType="end"/>
            </w:r>
          </w:hyperlink>
        </w:p>
        <w:p w14:paraId="12361F60" w14:textId="0BBE0FB4" w:rsidR="00BC349B" w:rsidRDefault="00000000">
          <w:pPr>
            <w:pStyle w:val="TOC3"/>
            <w:rPr>
              <w:rFonts w:asciiTheme="minorHAnsi" w:eastAsiaTheme="minorEastAsia" w:hAnsiTheme="minorHAnsi" w:cstheme="minorBidi"/>
              <w:b w:val="0"/>
              <w:bCs w:val="0"/>
              <w:sz w:val="22"/>
            </w:rPr>
          </w:pPr>
          <w:hyperlink w:anchor="_Toc131144649" w:history="1">
            <w:r w:rsidR="00BC349B" w:rsidRPr="002B6C02">
              <w:rPr>
                <w:rStyle w:val="Hyperlink"/>
                <w:rFonts w:ascii="Open Sans" w:hAnsi="Open Sans" w:cs="Open Sans"/>
              </w:rPr>
              <w:t>National security</w:t>
            </w:r>
            <w:r w:rsidR="00BC349B">
              <w:rPr>
                <w:webHidden/>
              </w:rPr>
              <w:tab/>
            </w:r>
            <w:r w:rsidR="00BC349B">
              <w:rPr>
                <w:webHidden/>
              </w:rPr>
              <w:fldChar w:fldCharType="begin"/>
            </w:r>
            <w:r w:rsidR="00BC349B">
              <w:rPr>
                <w:webHidden/>
              </w:rPr>
              <w:instrText xml:space="preserve"> PAGEREF _Toc131144649 \h </w:instrText>
            </w:r>
            <w:r w:rsidR="00BC349B">
              <w:rPr>
                <w:webHidden/>
              </w:rPr>
            </w:r>
            <w:r w:rsidR="00BC349B">
              <w:rPr>
                <w:webHidden/>
              </w:rPr>
              <w:fldChar w:fldCharType="separate"/>
            </w:r>
            <w:r w:rsidR="00BC349B">
              <w:rPr>
                <w:webHidden/>
              </w:rPr>
              <w:t>35</w:t>
            </w:r>
            <w:r w:rsidR="00BC349B">
              <w:rPr>
                <w:webHidden/>
              </w:rPr>
              <w:fldChar w:fldCharType="end"/>
            </w:r>
          </w:hyperlink>
        </w:p>
        <w:p w14:paraId="415E52C2" w14:textId="198D9D46" w:rsidR="00BC349B" w:rsidRDefault="00000000">
          <w:pPr>
            <w:pStyle w:val="TOC3"/>
            <w:rPr>
              <w:rFonts w:asciiTheme="minorHAnsi" w:eastAsiaTheme="minorEastAsia" w:hAnsiTheme="minorHAnsi" w:cstheme="minorBidi"/>
              <w:b w:val="0"/>
              <w:bCs w:val="0"/>
              <w:sz w:val="22"/>
            </w:rPr>
          </w:pPr>
          <w:hyperlink w:anchor="_Toc131144650" w:history="1">
            <w:r w:rsidR="00BC349B" w:rsidRPr="002B6C02">
              <w:rPr>
                <w:rStyle w:val="Hyperlink"/>
                <w:rFonts w:ascii="Open Sans" w:hAnsi="Open Sans" w:cs="Open Sans"/>
              </w:rPr>
              <w:t>Public order</w:t>
            </w:r>
            <w:r w:rsidR="00BC349B">
              <w:rPr>
                <w:webHidden/>
              </w:rPr>
              <w:tab/>
            </w:r>
            <w:r w:rsidR="00BC349B">
              <w:rPr>
                <w:webHidden/>
              </w:rPr>
              <w:fldChar w:fldCharType="begin"/>
            </w:r>
            <w:r w:rsidR="00BC349B">
              <w:rPr>
                <w:webHidden/>
              </w:rPr>
              <w:instrText xml:space="preserve"> PAGEREF _Toc131144650 \h </w:instrText>
            </w:r>
            <w:r w:rsidR="00BC349B">
              <w:rPr>
                <w:webHidden/>
              </w:rPr>
            </w:r>
            <w:r w:rsidR="00BC349B">
              <w:rPr>
                <w:webHidden/>
              </w:rPr>
              <w:fldChar w:fldCharType="separate"/>
            </w:r>
            <w:r w:rsidR="00BC349B">
              <w:rPr>
                <w:webHidden/>
              </w:rPr>
              <w:t>35</w:t>
            </w:r>
            <w:r w:rsidR="00BC349B">
              <w:rPr>
                <w:webHidden/>
              </w:rPr>
              <w:fldChar w:fldCharType="end"/>
            </w:r>
          </w:hyperlink>
        </w:p>
        <w:p w14:paraId="5A99AEBF" w14:textId="25869F76" w:rsidR="00BC349B" w:rsidRDefault="00000000">
          <w:pPr>
            <w:pStyle w:val="TOC3"/>
            <w:rPr>
              <w:rFonts w:asciiTheme="minorHAnsi" w:eastAsiaTheme="minorEastAsia" w:hAnsiTheme="minorHAnsi" w:cstheme="minorBidi"/>
              <w:b w:val="0"/>
              <w:bCs w:val="0"/>
              <w:sz w:val="22"/>
            </w:rPr>
          </w:pPr>
          <w:hyperlink w:anchor="_Toc131144651" w:history="1">
            <w:r w:rsidR="00BC349B" w:rsidRPr="002B6C02">
              <w:rPr>
                <w:rStyle w:val="Hyperlink"/>
                <w:rFonts w:ascii="Open Sans" w:hAnsi="Open Sans" w:cs="Open Sans"/>
              </w:rPr>
              <w:t>Public health</w:t>
            </w:r>
            <w:r w:rsidR="00BC349B">
              <w:rPr>
                <w:webHidden/>
              </w:rPr>
              <w:tab/>
            </w:r>
            <w:r w:rsidR="00BC349B">
              <w:rPr>
                <w:webHidden/>
              </w:rPr>
              <w:fldChar w:fldCharType="begin"/>
            </w:r>
            <w:r w:rsidR="00BC349B">
              <w:rPr>
                <w:webHidden/>
              </w:rPr>
              <w:instrText xml:space="preserve"> PAGEREF _Toc131144651 \h </w:instrText>
            </w:r>
            <w:r w:rsidR="00BC349B">
              <w:rPr>
                <w:webHidden/>
              </w:rPr>
            </w:r>
            <w:r w:rsidR="00BC349B">
              <w:rPr>
                <w:webHidden/>
              </w:rPr>
              <w:fldChar w:fldCharType="separate"/>
            </w:r>
            <w:r w:rsidR="00BC349B">
              <w:rPr>
                <w:webHidden/>
              </w:rPr>
              <w:t>35</w:t>
            </w:r>
            <w:r w:rsidR="00BC349B">
              <w:rPr>
                <w:webHidden/>
              </w:rPr>
              <w:fldChar w:fldCharType="end"/>
            </w:r>
          </w:hyperlink>
        </w:p>
        <w:p w14:paraId="54D1C029" w14:textId="73078FAA" w:rsidR="00BC349B" w:rsidRDefault="00000000">
          <w:pPr>
            <w:pStyle w:val="TOC3"/>
            <w:rPr>
              <w:rFonts w:asciiTheme="minorHAnsi" w:eastAsiaTheme="minorEastAsia" w:hAnsiTheme="minorHAnsi" w:cstheme="minorBidi"/>
              <w:b w:val="0"/>
              <w:bCs w:val="0"/>
              <w:sz w:val="22"/>
            </w:rPr>
          </w:pPr>
          <w:hyperlink w:anchor="_Toc131144652" w:history="1">
            <w:r w:rsidR="00BC349B" w:rsidRPr="002B6C02">
              <w:rPr>
                <w:rStyle w:val="Hyperlink"/>
                <w:rFonts w:ascii="Open Sans" w:hAnsi="Open Sans" w:cs="Open Sans"/>
              </w:rPr>
              <w:t>Public morals</w:t>
            </w:r>
            <w:r w:rsidR="00BC349B">
              <w:rPr>
                <w:webHidden/>
              </w:rPr>
              <w:tab/>
            </w:r>
            <w:r w:rsidR="00BC349B">
              <w:rPr>
                <w:webHidden/>
              </w:rPr>
              <w:fldChar w:fldCharType="begin"/>
            </w:r>
            <w:r w:rsidR="00BC349B">
              <w:rPr>
                <w:webHidden/>
              </w:rPr>
              <w:instrText xml:space="preserve"> PAGEREF _Toc131144652 \h </w:instrText>
            </w:r>
            <w:r w:rsidR="00BC349B">
              <w:rPr>
                <w:webHidden/>
              </w:rPr>
            </w:r>
            <w:r w:rsidR="00BC349B">
              <w:rPr>
                <w:webHidden/>
              </w:rPr>
              <w:fldChar w:fldCharType="separate"/>
            </w:r>
            <w:r w:rsidR="00BC349B">
              <w:rPr>
                <w:webHidden/>
              </w:rPr>
              <w:t>35</w:t>
            </w:r>
            <w:r w:rsidR="00BC349B">
              <w:rPr>
                <w:webHidden/>
              </w:rPr>
              <w:fldChar w:fldCharType="end"/>
            </w:r>
          </w:hyperlink>
        </w:p>
        <w:p w14:paraId="0DC5B885" w14:textId="41DDEAFC" w:rsidR="00BC349B" w:rsidRDefault="00000000">
          <w:pPr>
            <w:pStyle w:val="TOC2"/>
            <w:rPr>
              <w:rFonts w:cstheme="minorBidi"/>
              <w:sz w:val="22"/>
              <w:szCs w:val="22"/>
              <w:lang w:val="en-AU" w:eastAsia="en-AU"/>
            </w:rPr>
          </w:pPr>
          <w:hyperlink w:anchor="_Toc131144653" w:history="1">
            <w:r w:rsidR="00BC349B" w:rsidRPr="002B6C02">
              <w:rPr>
                <w:rStyle w:val="Hyperlink"/>
                <w:rFonts w:ascii="Open Sans" w:hAnsi="Open Sans" w:cs="Open Sans"/>
              </w:rPr>
              <w:t>Which domestic laws relate to freedom of opinion and expression?</w:t>
            </w:r>
            <w:r w:rsidR="00BC349B">
              <w:rPr>
                <w:webHidden/>
              </w:rPr>
              <w:tab/>
            </w:r>
            <w:r w:rsidR="00BC349B">
              <w:rPr>
                <w:webHidden/>
              </w:rPr>
              <w:fldChar w:fldCharType="begin"/>
            </w:r>
            <w:r w:rsidR="00BC349B">
              <w:rPr>
                <w:webHidden/>
              </w:rPr>
              <w:instrText xml:space="preserve"> PAGEREF _Toc131144653 \h </w:instrText>
            </w:r>
            <w:r w:rsidR="00BC349B">
              <w:rPr>
                <w:webHidden/>
              </w:rPr>
            </w:r>
            <w:r w:rsidR="00BC349B">
              <w:rPr>
                <w:webHidden/>
              </w:rPr>
              <w:fldChar w:fldCharType="separate"/>
            </w:r>
            <w:r w:rsidR="00BC349B">
              <w:rPr>
                <w:webHidden/>
              </w:rPr>
              <w:t>36</w:t>
            </w:r>
            <w:r w:rsidR="00BC349B">
              <w:rPr>
                <w:webHidden/>
              </w:rPr>
              <w:fldChar w:fldCharType="end"/>
            </w:r>
          </w:hyperlink>
        </w:p>
        <w:p w14:paraId="75446EB3" w14:textId="200B2A53" w:rsidR="00BC349B" w:rsidRDefault="00000000">
          <w:pPr>
            <w:pStyle w:val="TOC2"/>
            <w:rPr>
              <w:rFonts w:cstheme="minorBidi"/>
              <w:sz w:val="22"/>
              <w:szCs w:val="22"/>
              <w:lang w:val="en-AU" w:eastAsia="en-AU"/>
            </w:rPr>
          </w:pPr>
          <w:hyperlink w:anchor="_Toc131144654" w:history="1">
            <w:r w:rsidR="00BC349B" w:rsidRPr="002B6C02">
              <w:rPr>
                <w:rStyle w:val="Hyperlink"/>
                <w:rFonts w:ascii="Open Sans" w:hAnsi="Open Sans" w:cs="Open Sans"/>
              </w:rPr>
              <w:t>What other rights and freedoms relate to the right to freedom of opinion and expression?</w:t>
            </w:r>
            <w:r w:rsidR="00BC349B">
              <w:rPr>
                <w:webHidden/>
              </w:rPr>
              <w:tab/>
            </w:r>
            <w:r w:rsidR="00BC349B">
              <w:rPr>
                <w:webHidden/>
              </w:rPr>
              <w:fldChar w:fldCharType="begin"/>
            </w:r>
            <w:r w:rsidR="00BC349B">
              <w:rPr>
                <w:webHidden/>
              </w:rPr>
              <w:instrText xml:space="preserve"> PAGEREF _Toc131144654 \h </w:instrText>
            </w:r>
            <w:r w:rsidR="00BC349B">
              <w:rPr>
                <w:webHidden/>
              </w:rPr>
            </w:r>
            <w:r w:rsidR="00BC349B">
              <w:rPr>
                <w:webHidden/>
              </w:rPr>
              <w:fldChar w:fldCharType="separate"/>
            </w:r>
            <w:r w:rsidR="00BC349B">
              <w:rPr>
                <w:webHidden/>
              </w:rPr>
              <w:t>37</w:t>
            </w:r>
            <w:r w:rsidR="00BC349B">
              <w:rPr>
                <w:webHidden/>
              </w:rPr>
              <w:fldChar w:fldCharType="end"/>
            </w:r>
          </w:hyperlink>
        </w:p>
        <w:p w14:paraId="5D57C58F" w14:textId="6D04CEB9" w:rsidR="00BC349B" w:rsidRDefault="00000000">
          <w:pPr>
            <w:pStyle w:val="TOC2"/>
            <w:rPr>
              <w:rFonts w:cstheme="minorBidi"/>
              <w:sz w:val="22"/>
              <w:szCs w:val="22"/>
              <w:lang w:val="en-AU" w:eastAsia="en-AU"/>
            </w:rPr>
          </w:pPr>
          <w:hyperlink w:anchor="_Toc131144655" w:history="1">
            <w:r w:rsidR="00BC349B" w:rsidRPr="002B6C02">
              <w:rPr>
                <w:rStyle w:val="Hyperlink"/>
                <w:rFonts w:ascii="Open Sans" w:hAnsi="Open Sans" w:cs="Open Sans"/>
              </w:rPr>
              <w:t>Articles from relevant Conventions</w:t>
            </w:r>
            <w:r w:rsidR="00BC349B">
              <w:rPr>
                <w:webHidden/>
              </w:rPr>
              <w:tab/>
            </w:r>
            <w:r w:rsidR="00BC349B">
              <w:rPr>
                <w:webHidden/>
              </w:rPr>
              <w:fldChar w:fldCharType="begin"/>
            </w:r>
            <w:r w:rsidR="00BC349B">
              <w:rPr>
                <w:webHidden/>
              </w:rPr>
              <w:instrText xml:space="preserve"> PAGEREF _Toc131144655 \h </w:instrText>
            </w:r>
            <w:r w:rsidR="00BC349B">
              <w:rPr>
                <w:webHidden/>
              </w:rPr>
            </w:r>
            <w:r w:rsidR="00BC349B">
              <w:rPr>
                <w:webHidden/>
              </w:rPr>
              <w:fldChar w:fldCharType="separate"/>
            </w:r>
            <w:r w:rsidR="00BC349B">
              <w:rPr>
                <w:webHidden/>
              </w:rPr>
              <w:t>37</w:t>
            </w:r>
            <w:r w:rsidR="00BC349B">
              <w:rPr>
                <w:webHidden/>
              </w:rPr>
              <w:fldChar w:fldCharType="end"/>
            </w:r>
          </w:hyperlink>
        </w:p>
        <w:p w14:paraId="0B42D499" w14:textId="5B507FDB" w:rsidR="00BC349B" w:rsidRDefault="00000000">
          <w:pPr>
            <w:pStyle w:val="TOC2"/>
            <w:rPr>
              <w:rFonts w:cstheme="minorBidi"/>
              <w:sz w:val="22"/>
              <w:szCs w:val="22"/>
              <w:lang w:val="en-AU" w:eastAsia="en-AU"/>
            </w:rPr>
          </w:pPr>
          <w:hyperlink w:anchor="_Toc131144656" w:history="1">
            <w:r w:rsidR="00BC349B" w:rsidRPr="002B6C02">
              <w:rPr>
                <w:rStyle w:val="Hyperlink"/>
                <w:rFonts w:ascii="Open Sans" w:hAnsi="Open Sans" w:cs="Open Sans"/>
              </w:rPr>
              <w:t>Where can I read more about the right to freedom of opinion and expression?</w:t>
            </w:r>
            <w:r w:rsidR="00BC349B">
              <w:rPr>
                <w:webHidden/>
              </w:rPr>
              <w:tab/>
            </w:r>
            <w:r w:rsidR="00BC349B">
              <w:rPr>
                <w:webHidden/>
              </w:rPr>
              <w:fldChar w:fldCharType="begin"/>
            </w:r>
            <w:r w:rsidR="00BC349B">
              <w:rPr>
                <w:webHidden/>
              </w:rPr>
              <w:instrText xml:space="preserve"> PAGEREF _Toc131144656 \h </w:instrText>
            </w:r>
            <w:r w:rsidR="00BC349B">
              <w:rPr>
                <w:webHidden/>
              </w:rPr>
            </w:r>
            <w:r w:rsidR="00BC349B">
              <w:rPr>
                <w:webHidden/>
              </w:rPr>
              <w:fldChar w:fldCharType="separate"/>
            </w:r>
            <w:r w:rsidR="00BC349B">
              <w:rPr>
                <w:webHidden/>
              </w:rPr>
              <w:t>38</w:t>
            </w:r>
            <w:r w:rsidR="00BC349B">
              <w:rPr>
                <w:webHidden/>
              </w:rPr>
              <w:fldChar w:fldCharType="end"/>
            </w:r>
          </w:hyperlink>
        </w:p>
        <w:p w14:paraId="1DE2964D" w14:textId="24D7DC09" w:rsidR="00BC349B" w:rsidRDefault="00000000">
          <w:pPr>
            <w:pStyle w:val="TOC1"/>
            <w:rPr>
              <w:rFonts w:asciiTheme="minorHAnsi" w:eastAsiaTheme="minorEastAsia" w:hAnsiTheme="minorHAnsi"/>
              <w:b w:val="0"/>
              <w:bCs w:val="0"/>
              <w:sz w:val="22"/>
              <w:lang w:val="en-AU" w:eastAsia="en-AU"/>
            </w:rPr>
          </w:pPr>
          <w:hyperlink w:anchor="_Toc131144657" w:history="1">
            <w:r w:rsidR="00BC349B" w:rsidRPr="002B6C02">
              <w:rPr>
                <w:rStyle w:val="Hyperlink"/>
                <w:rFonts w:ascii="Open Sans" w:hAnsi="Open Sans" w:cs="Open Sans"/>
              </w:rPr>
              <w:t>Minimum guarantees in criminal proceedings</w:t>
            </w:r>
            <w:r w:rsidR="00BC349B">
              <w:rPr>
                <w:webHidden/>
              </w:rPr>
              <w:tab/>
            </w:r>
            <w:r w:rsidR="00BC349B">
              <w:rPr>
                <w:webHidden/>
              </w:rPr>
              <w:fldChar w:fldCharType="begin"/>
            </w:r>
            <w:r w:rsidR="00BC349B">
              <w:rPr>
                <w:webHidden/>
              </w:rPr>
              <w:instrText xml:space="preserve"> PAGEREF _Toc131144657 \h </w:instrText>
            </w:r>
            <w:r w:rsidR="00BC349B">
              <w:rPr>
                <w:webHidden/>
              </w:rPr>
            </w:r>
            <w:r w:rsidR="00BC349B">
              <w:rPr>
                <w:webHidden/>
              </w:rPr>
              <w:fldChar w:fldCharType="separate"/>
            </w:r>
            <w:r w:rsidR="00BC349B">
              <w:rPr>
                <w:webHidden/>
              </w:rPr>
              <w:t>38</w:t>
            </w:r>
            <w:r w:rsidR="00BC349B">
              <w:rPr>
                <w:webHidden/>
              </w:rPr>
              <w:fldChar w:fldCharType="end"/>
            </w:r>
          </w:hyperlink>
        </w:p>
        <w:p w14:paraId="18ACBB9A" w14:textId="788E1408" w:rsidR="00BC349B" w:rsidRDefault="00000000">
          <w:pPr>
            <w:pStyle w:val="TOC2"/>
            <w:rPr>
              <w:rFonts w:cstheme="minorBidi"/>
              <w:sz w:val="22"/>
              <w:szCs w:val="22"/>
              <w:lang w:val="en-AU" w:eastAsia="en-AU"/>
            </w:rPr>
          </w:pPr>
          <w:hyperlink w:anchor="_Toc131144658" w:history="1">
            <w:r w:rsidR="00BC349B" w:rsidRPr="002B6C02">
              <w:rPr>
                <w:rStyle w:val="Hyperlink"/>
                <w:rFonts w:ascii="Open Sans" w:hAnsi="Open Sans" w:cs="Open Sans"/>
              </w:rPr>
              <w:t>What are minimum guarantees in criminal proceedings?</w:t>
            </w:r>
            <w:r w:rsidR="00BC349B">
              <w:rPr>
                <w:webHidden/>
              </w:rPr>
              <w:tab/>
            </w:r>
            <w:r w:rsidR="00BC349B">
              <w:rPr>
                <w:webHidden/>
              </w:rPr>
              <w:fldChar w:fldCharType="begin"/>
            </w:r>
            <w:r w:rsidR="00BC349B">
              <w:rPr>
                <w:webHidden/>
              </w:rPr>
              <w:instrText xml:space="preserve"> PAGEREF _Toc131144658 \h </w:instrText>
            </w:r>
            <w:r w:rsidR="00BC349B">
              <w:rPr>
                <w:webHidden/>
              </w:rPr>
            </w:r>
            <w:r w:rsidR="00BC349B">
              <w:rPr>
                <w:webHidden/>
              </w:rPr>
              <w:fldChar w:fldCharType="separate"/>
            </w:r>
            <w:r w:rsidR="00BC349B">
              <w:rPr>
                <w:webHidden/>
              </w:rPr>
              <w:t>38</w:t>
            </w:r>
            <w:r w:rsidR="00BC349B">
              <w:rPr>
                <w:webHidden/>
              </w:rPr>
              <w:fldChar w:fldCharType="end"/>
            </w:r>
          </w:hyperlink>
        </w:p>
        <w:p w14:paraId="35A5BC31" w14:textId="02CCC28B" w:rsidR="00BC349B" w:rsidRDefault="00000000">
          <w:pPr>
            <w:pStyle w:val="TOC2"/>
            <w:rPr>
              <w:rFonts w:cstheme="minorBidi"/>
              <w:sz w:val="22"/>
              <w:szCs w:val="22"/>
              <w:lang w:val="en-AU" w:eastAsia="en-AU"/>
            </w:rPr>
          </w:pPr>
          <w:hyperlink w:anchor="_Toc131144659" w:history="1">
            <w:r w:rsidR="00BC349B" w:rsidRPr="002B6C02">
              <w:rPr>
                <w:rStyle w:val="Hyperlink"/>
                <w:rFonts w:ascii="Open Sans" w:hAnsi="Open Sans" w:cs="Open Sans"/>
              </w:rPr>
              <w:t>Where do minimum guarantees in criminal proceedings come from?</w:t>
            </w:r>
            <w:r w:rsidR="00BC349B">
              <w:rPr>
                <w:webHidden/>
              </w:rPr>
              <w:tab/>
            </w:r>
            <w:r w:rsidR="00BC349B">
              <w:rPr>
                <w:webHidden/>
              </w:rPr>
              <w:fldChar w:fldCharType="begin"/>
            </w:r>
            <w:r w:rsidR="00BC349B">
              <w:rPr>
                <w:webHidden/>
              </w:rPr>
              <w:instrText xml:space="preserve"> PAGEREF _Toc131144659 \h </w:instrText>
            </w:r>
            <w:r w:rsidR="00BC349B">
              <w:rPr>
                <w:webHidden/>
              </w:rPr>
            </w:r>
            <w:r w:rsidR="00BC349B">
              <w:rPr>
                <w:webHidden/>
              </w:rPr>
              <w:fldChar w:fldCharType="separate"/>
            </w:r>
            <w:r w:rsidR="00BC349B">
              <w:rPr>
                <w:webHidden/>
              </w:rPr>
              <w:t>39</w:t>
            </w:r>
            <w:r w:rsidR="00BC349B">
              <w:rPr>
                <w:webHidden/>
              </w:rPr>
              <w:fldChar w:fldCharType="end"/>
            </w:r>
          </w:hyperlink>
        </w:p>
        <w:p w14:paraId="323174F3" w14:textId="0D70F33D" w:rsidR="00BC349B" w:rsidRDefault="00000000">
          <w:pPr>
            <w:pStyle w:val="TOC2"/>
            <w:rPr>
              <w:rFonts w:cstheme="minorBidi"/>
              <w:sz w:val="22"/>
              <w:szCs w:val="22"/>
              <w:lang w:val="en-AU" w:eastAsia="en-AU"/>
            </w:rPr>
          </w:pPr>
          <w:hyperlink w:anchor="_Toc131144660" w:history="1">
            <w:r w:rsidR="00BC349B" w:rsidRPr="002B6C02">
              <w:rPr>
                <w:rStyle w:val="Hyperlink"/>
                <w:rFonts w:ascii="Open Sans" w:hAnsi="Open Sans" w:cs="Open Sans"/>
              </w:rPr>
              <w:t>When do I need to consider the minimum guarantees in criminal proceedings?</w:t>
            </w:r>
            <w:r w:rsidR="00BC349B">
              <w:rPr>
                <w:webHidden/>
              </w:rPr>
              <w:tab/>
            </w:r>
            <w:r w:rsidR="00BC349B">
              <w:rPr>
                <w:webHidden/>
              </w:rPr>
              <w:fldChar w:fldCharType="begin"/>
            </w:r>
            <w:r w:rsidR="00BC349B">
              <w:rPr>
                <w:webHidden/>
              </w:rPr>
              <w:instrText xml:space="preserve"> PAGEREF _Toc131144660 \h </w:instrText>
            </w:r>
            <w:r w:rsidR="00BC349B">
              <w:rPr>
                <w:webHidden/>
              </w:rPr>
            </w:r>
            <w:r w:rsidR="00BC349B">
              <w:rPr>
                <w:webHidden/>
              </w:rPr>
              <w:fldChar w:fldCharType="separate"/>
            </w:r>
            <w:r w:rsidR="00BC349B">
              <w:rPr>
                <w:webHidden/>
              </w:rPr>
              <w:t>39</w:t>
            </w:r>
            <w:r w:rsidR="00BC349B">
              <w:rPr>
                <w:webHidden/>
              </w:rPr>
              <w:fldChar w:fldCharType="end"/>
            </w:r>
          </w:hyperlink>
        </w:p>
        <w:p w14:paraId="2E605D41" w14:textId="6C61BC70" w:rsidR="00BC349B" w:rsidRDefault="00000000">
          <w:pPr>
            <w:pStyle w:val="TOC2"/>
            <w:rPr>
              <w:rFonts w:cstheme="minorBidi"/>
              <w:sz w:val="22"/>
              <w:szCs w:val="22"/>
              <w:lang w:val="en-AU" w:eastAsia="en-AU"/>
            </w:rPr>
          </w:pPr>
          <w:hyperlink w:anchor="_Toc131144661" w:history="1">
            <w:r w:rsidR="00BC349B" w:rsidRPr="002B6C02">
              <w:rPr>
                <w:rStyle w:val="Hyperlink"/>
                <w:rFonts w:ascii="Open Sans" w:hAnsi="Open Sans" w:cs="Open Sans"/>
              </w:rPr>
              <w:t>What is the scope of minimum guarantees in criminal proceedings?</w:t>
            </w:r>
            <w:r w:rsidR="00BC349B">
              <w:rPr>
                <w:webHidden/>
              </w:rPr>
              <w:tab/>
            </w:r>
            <w:r w:rsidR="00BC349B">
              <w:rPr>
                <w:webHidden/>
              </w:rPr>
              <w:fldChar w:fldCharType="begin"/>
            </w:r>
            <w:r w:rsidR="00BC349B">
              <w:rPr>
                <w:webHidden/>
              </w:rPr>
              <w:instrText xml:space="preserve"> PAGEREF _Toc131144661 \h </w:instrText>
            </w:r>
            <w:r w:rsidR="00BC349B">
              <w:rPr>
                <w:webHidden/>
              </w:rPr>
            </w:r>
            <w:r w:rsidR="00BC349B">
              <w:rPr>
                <w:webHidden/>
              </w:rPr>
              <w:fldChar w:fldCharType="separate"/>
            </w:r>
            <w:r w:rsidR="00BC349B">
              <w:rPr>
                <w:webHidden/>
              </w:rPr>
              <w:t>40</w:t>
            </w:r>
            <w:r w:rsidR="00BC349B">
              <w:rPr>
                <w:webHidden/>
              </w:rPr>
              <w:fldChar w:fldCharType="end"/>
            </w:r>
          </w:hyperlink>
        </w:p>
        <w:p w14:paraId="41E64B53" w14:textId="63C0B171" w:rsidR="00BC349B" w:rsidRDefault="00000000">
          <w:pPr>
            <w:pStyle w:val="TOC3"/>
            <w:rPr>
              <w:rFonts w:asciiTheme="minorHAnsi" w:eastAsiaTheme="minorEastAsia" w:hAnsiTheme="minorHAnsi" w:cstheme="minorBidi"/>
              <w:b w:val="0"/>
              <w:bCs w:val="0"/>
              <w:sz w:val="22"/>
            </w:rPr>
          </w:pPr>
          <w:hyperlink w:anchor="_Toc131144662" w:history="1">
            <w:r w:rsidR="00BC349B" w:rsidRPr="002B6C02">
              <w:rPr>
                <w:rStyle w:val="Hyperlink"/>
                <w:rFonts w:ascii="Open Sans" w:hAnsi="Open Sans" w:cs="Open Sans"/>
              </w:rPr>
              <w:t>To be informed promptly of the charge</w:t>
            </w:r>
            <w:r w:rsidR="00BC349B">
              <w:rPr>
                <w:webHidden/>
              </w:rPr>
              <w:tab/>
            </w:r>
            <w:r w:rsidR="00BC349B">
              <w:rPr>
                <w:webHidden/>
              </w:rPr>
              <w:fldChar w:fldCharType="begin"/>
            </w:r>
            <w:r w:rsidR="00BC349B">
              <w:rPr>
                <w:webHidden/>
              </w:rPr>
              <w:instrText xml:space="preserve"> PAGEREF _Toc131144662 \h </w:instrText>
            </w:r>
            <w:r w:rsidR="00BC349B">
              <w:rPr>
                <w:webHidden/>
              </w:rPr>
            </w:r>
            <w:r w:rsidR="00BC349B">
              <w:rPr>
                <w:webHidden/>
              </w:rPr>
              <w:fldChar w:fldCharType="separate"/>
            </w:r>
            <w:r w:rsidR="00BC349B">
              <w:rPr>
                <w:webHidden/>
              </w:rPr>
              <w:t>40</w:t>
            </w:r>
            <w:r w:rsidR="00BC349B">
              <w:rPr>
                <w:webHidden/>
              </w:rPr>
              <w:fldChar w:fldCharType="end"/>
            </w:r>
          </w:hyperlink>
        </w:p>
        <w:p w14:paraId="3AE47848" w14:textId="0504995E" w:rsidR="00BC349B" w:rsidRDefault="00000000">
          <w:pPr>
            <w:pStyle w:val="TOC3"/>
            <w:rPr>
              <w:rFonts w:asciiTheme="minorHAnsi" w:eastAsiaTheme="minorEastAsia" w:hAnsiTheme="minorHAnsi" w:cstheme="minorBidi"/>
              <w:b w:val="0"/>
              <w:bCs w:val="0"/>
              <w:sz w:val="22"/>
            </w:rPr>
          </w:pPr>
          <w:hyperlink w:anchor="_Toc131144663" w:history="1">
            <w:r w:rsidR="00BC349B" w:rsidRPr="002B6C02">
              <w:rPr>
                <w:rStyle w:val="Hyperlink"/>
                <w:rFonts w:ascii="Open Sans" w:hAnsi="Open Sans" w:cs="Open Sans"/>
              </w:rPr>
              <w:t>To have adequate time and facilities to prepare a defence and to communicate with counsel</w:t>
            </w:r>
            <w:r w:rsidR="00BC349B">
              <w:rPr>
                <w:webHidden/>
              </w:rPr>
              <w:tab/>
            </w:r>
            <w:r w:rsidR="00BC349B">
              <w:rPr>
                <w:webHidden/>
              </w:rPr>
              <w:fldChar w:fldCharType="begin"/>
            </w:r>
            <w:r w:rsidR="00BC349B">
              <w:rPr>
                <w:webHidden/>
              </w:rPr>
              <w:instrText xml:space="preserve"> PAGEREF _Toc131144663 \h </w:instrText>
            </w:r>
            <w:r w:rsidR="00BC349B">
              <w:rPr>
                <w:webHidden/>
              </w:rPr>
            </w:r>
            <w:r w:rsidR="00BC349B">
              <w:rPr>
                <w:webHidden/>
              </w:rPr>
              <w:fldChar w:fldCharType="separate"/>
            </w:r>
            <w:r w:rsidR="00BC349B">
              <w:rPr>
                <w:webHidden/>
              </w:rPr>
              <w:t>41</w:t>
            </w:r>
            <w:r w:rsidR="00BC349B">
              <w:rPr>
                <w:webHidden/>
              </w:rPr>
              <w:fldChar w:fldCharType="end"/>
            </w:r>
          </w:hyperlink>
        </w:p>
        <w:p w14:paraId="69E746C8" w14:textId="67B78F48" w:rsidR="00BC349B" w:rsidRDefault="00000000">
          <w:pPr>
            <w:pStyle w:val="TOC3"/>
            <w:rPr>
              <w:rFonts w:asciiTheme="minorHAnsi" w:eastAsiaTheme="minorEastAsia" w:hAnsiTheme="minorHAnsi" w:cstheme="minorBidi"/>
              <w:b w:val="0"/>
              <w:bCs w:val="0"/>
              <w:sz w:val="22"/>
            </w:rPr>
          </w:pPr>
          <w:hyperlink w:anchor="_Toc131144664" w:history="1">
            <w:r w:rsidR="00BC349B" w:rsidRPr="002B6C02">
              <w:rPr>
                <w:rStyle w:val="Hyperlink"/>
                <w:rFonts w:ascii="Open Sans" w:hAnsi="Open Sans" w:cs="Open Sans"/>
              </w:rPr>
              <w:t>To be tried without undue delay</w:t>
            </w:r>
            <w:r w:rsidR="00BC349B">
              <w:rPr>
                <w:webHidden/>
              </w:rPr>
              <w:tab/>
            </w:r>
            <w:r w:rsidR="00BC349B">
              <w:rPr>
                <w:webHidden/>
              </w:rPr>
              <w:fldChar w:fldCharType="begin"/>
            </w:r>
            <w:r w:rsidR="00BC349B">
              <w:rPr>
                <w:webHidden/>
              </w:rPr>
              <w:instrText xml:space="preserve"> PAGEREF _Toc131144664 \h </w:instrText>
            </w:r>
            <w:r w:rsidR="00BC349B">
              <w:rPr>
                <w:webHidden/>
              </w:rPr>
            </w:r>
            <w:r w:rsidR="00BC349B">
              <w:rPr>
                <w:webHidden/>
              </w:rPr>
              <w:fldChar w:fldCharType="separate"/>
            </w:r>
            <w:r w:rsidR="00BC349B">
              <w:rPr>
                <w:webHidden/>
              </w:rPr>
              <w:t>41</w:t>
            </w:r>
            <w:r w:rsidR="00BC349B">
              <w:rPr>
                <w:webHidden/>
              </w:rPr>
              <w:fldChar w:fldCharType="end"/>
            </w:r>
          </w:hyperlink>
        </w:p>
        <w:p w14:paraId="689364AF" w14:textId="1C70A67F" w:rsidR="00BC349B" w:rsidRDefault="00000000">
          <w:pPr>
            <w:pStyle w:val="TOC3"/>
            <w:rPr>
              <w:rFonts w:asciiTheme="minorHAnsi" w:eastAsiaTheme="minorEastAsia" w:hAnsiTheme="minorHAnsi" w:cstheme="minorBidi"/>
              <w:b w:val="0"/>
              <w:bCs w:val="0"/>
              <w:sz w:val="22"/>
            </w:rPr>
          </w:pPr>
          <w:hyperlink w:anchor="_Toc131144665" w:history="1">
            <w:r w:rsidR="00BC349B" w:rsidRPr="002B6C02">
              <w:rPr>
                <w:rStyle w:val="Hyperlink"/>
                <w:rFonts w:ascii="Open Sans" w:hAnsi="Open Sans" w:cs="Open Sans"/>
              </w:rPr>
              <w:t>To be tried in person</w:t>
            </w:r>
            <w:r w:rsidR="00BC349B">
              <w:rPr>
                <w:webHidden/>
              </w:rPr>
              <w:tab/>
            </w:r>
            <w:r w:rsidR="00BC349B">
              <w:rPr>
                <w:webHidden/>
              </w:rPr>
              <w:fldChar w:fldCharType="begin"/>
            </w:r>
            <w:r w:rsidR="00BC349B">
              <w:rPr>
                <w:webHidden/>
              </w:rPr>
              <w:instrText xml:space="preserve"> PAGEREF _Toc131144665 \h </w:instrText>
            </w:r>
            <w:r w:rsidR="00BC349B">
              <w:rPr>
                <w:webHidden/>
              </w:rPr>
            </w:r>
            <w:r w:rsidR="00BC349B">
              <w:rPr>
                <w:webHidden/>
              </w:rPr>
              <w:fldChar w:fldCharType="separate"/>
            </w:r>
            <w:r w:rsidR="00BC349B">
              <w:rPr>
                <w:webHidden/>
              </w:rPr>
              <w:t>41</w:t>
            </w:r>
            <w:r w:rsidR="00BC349B">
              <w:rPr>
                <w:webHidden/>
              </w:rPr>
              <w:fldChar w:fldCharType="end"/>
            </w:r>
          </w:hyperlink>
        </w:p>
        <w:p w14:paraId="798A7B57" w14:textId="07A97877" w:rsidR="00BC349B" w:rsidRDefault="00000000">
          <w:pPr>
            <w:pStyle w:val="TOC3"/>
            <w:rPr>
              <w:rFonts w:asciiTheme="minorHAnsi" w:eastAsiaTheme="minorEastAsia" w:hAnsiTheme="minorHAnsi" w:cstheme="minorBidi"/>
              <w:b w:val="0"/>
              <w:bCs w:val="0"/>
              <w:sz w:val="22"/>
            </w:rPr>
          </w:pPr>
          <w:hyperlink w:anchor="_Toc131144666" w:history="1">
            <w:r w:rsidR="00BC349B" w:rsidRPr="002B6C02">
              <w:rPr>
                <w:rStyle w:val="Hyperlink"/>
                <w:rFonts w:ascii="Open Sans" w:hAnsi="Open Sans" w:cs="Open Sans"/>
              </w:rPr>
              <w:t>To legal assistance and to have legal assistance assigned to the accused, where the interests of justice so require, and without payment if the accused is unable to pay for it</w:t>
            </w:r>
            <w:r w:rsidR="00BC349B">
              <w:rPr>
                <w:webHidden/>
              </w:rPr>
              <w:tab/>
            </w:r>
            <w:r w:rsidR="00BC349B">
              <w:rPr>
                <w:webHidden/>
              </w:rPr>
              <w:fldChar w:fldCharType="begin"/>
            </w:r>
            <w:r w:rsidR="00BC349B">
              <w:rPr>
                <w:webHidden/>
              </w:rPr>
              <w:instrText xml:space="preserve"> PAGEREF _Toc131144666 \h </w:instrText>
            </w:r>
            <w:r w:rsidR="00BC349B">
              <w:rPr>
                <w:webHidden/>
              </w:rPr>
            </w:r>
            <w:r w:rsidR="00BC349B">
              <w:rPr>
                <w:webHidden/>
              </w:rPr>
              <w:fldChar w:fldCharType="separate"/>
            </w:r>
            <w:r w:rsidR="00BC349B">
              <w:rPr>
                <w:webHidden/>
              </w:rPr>
              <w:t>41</w:t>
            </w:r>
            <w:r w:rsidR="00BC349B">
              <w:rPr>
                <w:webHidden/>
              </w:rPr>
              <w:fldChar w:fldCharType="end"/>
            </w:r>
          </w:hyperlink>
        </w:p>
        <w:p w14:paraId="50AABCC7" w14:textId="27614E11" w:rsidR="00BC349B" w:rsidRDefault="00000000">
          <w:pPr>
            <w:pStyle w:val="TOC3"/>
            <w:rPr>
              <w:rFonts w:asciiTheme="minorHAnsi" w:eastAsiaTheme="minorEastAsia" w:hAnsiTheme="minorHAnsi" w:cstheme="minorBidi"/>
              <w:b w:val="0"/>
              <w:bCs w:val="0"/>
              <w:sz w:val="22"/>
            </w:rPr>
          </w:pPr>
          <w:hyperlink w:anchor="_Toc131144667" w:history="1">
            <w:r w:rsidR="00BC349B" w:rsidRPr="002B6C02">
              <w:rPr>
                <w:rStyle w:val="Hyperlink"/>
                <w:rFonts w:ascii="Open Sans" w:hAnsi="Open Sans" w:cs="Open Sans"/>
              </w:rPr>
              <w:t>To cross-examine prosecution witnesses and to obtain the attendance and examination of witnesses on behalf of the accused on the same conditions as the prosecution</w:t>
            </w:r>
            <w:r w:rsidR="00BC349B">
              <w:rPr>
                <w:webHidden/>
              </w:rPr>
              <w:tab/>
            </w:r>
            <w:r w:rsidR="00BC349B">
              <w:rPr>
                <w:webHidden/>
              </w:rPr>
              <w:fldChar w:fldCharType="begin"/>
            </w:r>
            <w:r w:rsidR="00BC349B">
              <w:rPr>
                <w:webHidden/>
              </w:rPr>
              <w:instrText xml:space="preserve"> PAGEREF _Toc131144667 \h </w:instrText>
            </w:r>
            <w:r w:rsidR="00BC349B">
              <w:rPr>
                <w:webHidden/>
              </w:rPr>
            </w:r>
            <w:r w:rsidR="00BC349B">
              <w:rPr>
                <w:webHidden/>
              </w:rPr>
              <w:fldChar w:fldCharType="separate"/>
            </w:r>
            <w:r w:rsidR="00BC349B">
              <w:rPr>
                <w:webHidden/>
              </w:rPr>
              <w:t>42</w:t>
            </w:r>
            <w:r w:rsidR="00BC349B">
              <w:rPr>
                <w:webHidden/>
              </w:rPr>
              <w:fldChar w:fldCharType="end"/>
            </w:r>
          </w:hyperlink>
        </w:p>
        <w:p w14:paraId="41190804" w14:textId="28256C69" w:rsidR="00BC349B" w:rsidRDefault="00000000">
          <w:pPr>
            <w:pStyle w:val="TOC3"/>
            <w:rPr>
              <w:rFonts w:asciiTheme="minorHAnsi" w:eastAsiaTheme="minorEastAsia" w:hAnsiTheme="minorHAnsi" w:cstheme="minorBidi"/>
              <w:b w:val="0"/>
              <w:bCs w:val="0"/>
              <w:sz w:val="22"/>
            </w:rPr>
          </w:pPr>
          <w:hyperlink w:anchor="_Toc131144668" w:history="1">
            <w:r w:rsidR="00BC349B" w:rsidRPr="002B6C02">
              <w:rPr>
                <w:rStyle w:val="Hyperlink"/>
                <w:rFonts w:ascii="Open Sans" w:hAnsi="Open Sans" w:cs="Open Sans"/>
              </w:rPr>
              <w:t>To have the assistance of an interpreter</w:t>
            </w:r>
            <w:r w:rsidR="00BC349B">
              <w:rPr>
                <w:webHidden/>
              </w:rPr>
              <w:tab/>
            </w:r>
            <w:r w:rsidR="00BC349B">
              <w:rPr>
                <w:webHidden/>
              </w:rPr>
              <w:fldChar w:fldCharType="begin"/>
            </w:r>
            <w:r w:rsidR="00BC349B">
              <w:rPr>
                <w:webHidden/>
              </w:rPr>
              <w:instrText xml:space="preserve"> PAGEREF _Toc131144668 \h </w:instrText>
            </w:r>
            <w:r w:rsidR="00BC349B">
              <w:rPr>
                <w:webHidden/>
              </w:rPr>
            </w:r>
            <w:r w:rsidR="00BC349B">
              <w:rPr>
                <w:webHidden/>
              </w:rPr>
              <w:fldChar w:fldCharType="separate"/>
            </w:r>
            <w:r w:rsidR="00BC349B">
              <w:rPr>
                <w:webHidden/>
              </w:rPr>
              <w:t>42</w:t>
            </w:r>
            <w:r w:rsidR="00BC349B">
              <w:rPr>
                <w:webHidden/>
              </w:rPr>
              <w:fldChar w:fldCharType="end"/>
            </w:r>
          </w:hyperlink>
        </w:p>
        <w:p w14:paraId="7855669A" w14:textId="687AF423" w:rsidR="00BC349B" w:rsidRDefault="00000000">
          <w:pPr>
            <w:pStyle w:val="TOC3"/>
            <w:rPr>
              <w:rFonts w:asciiTheme="minorHAnsi" w:eastAsiaTheme="minorEastAsia" w:hAnsiTheme="minorHAnsi" w:cstheme="minorBidi"/>
              <w:b w:val="0"/>
              <w:bCs w:val="0"/>
              <w:sz w:val="22"/>
            </w:rPr>
          </w:pPr>
          <w:hyperlink w:anchor="_Toc131144669" w:history="1">
            <w:r w:rsidR="00BC349B" w:rsidRPr="002B6C02">
              <w:rPr>
                <w:rStyle w:val="Hyperlink"/>
                <w:rFonts w:ascii="Open Sans" w:hAnsi="Open Sans" w:cs="Open Sans"/>
              </w:rPr>
              <w:t>To be free from self-incrimination</w:t>
            </w:r>
            <w:r w:rsidR="00BC349B">
              <w:rPr>
                <w:webHidden/>
              </w:rPr>
              <w:tab/>
            </w:r>
            <w:r w:rsidR="00BC349B">
              <w:rPr>
                <w:webHidden/>
              </w:rPr>
              <w:fldChar w:fldCharType="begin"/>
            </w:r>
            <w:r w:rsidR="00BC349B">
              <w:rPr>
                <w:webHidden/>
              </w:rPr>
              <w:instrText xml:space="preserve"> PAGEREF _Toc131144669 \h </w:instrText>
            </w:r>
            <w:r w:rsidR="00BC349B">
              <w:rPr>
                <w:webHidden/>
              </w:rPr>
            </w:r>
            <w:r w:rsidR="00BC349B">
              <w:rPr>
                <w:webHidden/>
              </w:rPr>
              <w:fldChar w:fldCharType="separate"/>
            </w:r>
            <w:r w:rsidR="00BC349B">
              <w:rPr>
                <w:webHidden/>
              </w:rPr>
              <w:t>42</w:t>
            </w:r>
            <w:r w:rsidR="00BC349B">
              <w:rPr>
                <w:webHidden/>
              </w:rPr>
              <w:fldChar w:fldCharType="end"/>
            </w:r>
          </w:hyperlink>
        </w:p>
        <w:p w14:paraId="7F4E2A63" w14:textId="7D8D4740" w:rsidR="00BC349B" w:rsidRDefault="00000000">
          <w:pPr>
            <w:pStyle w:val="TOC3"/>
            <w:rPr>
              <w:rFonts w:asciiTheme="minorHAnsi" w:eastAsiaTheme="minorEastAsia" w:hAnsiTheme="minorHAnsi" w:cstheme="minorBidi"/>
              <w:b w:val="0"/>
              <w:bCs w:val="0"/>
              <w:sz w:val="22"/>
            </w:rPr>
          </w:pPr>
          <w:hyperlink w:anchor="_Toc131144670" w:history="1">
            <w:r w:rsidR="00BC349B" w:rsidRPr="002B6C02">
              <w:rPr>
                <w:rStyle w:val="Hyperlink"/>
                <w:rFonts w:ascii="Open Sans" w:hAnsi="Open Sans" w:cs="Open Sans"/>
              </w:rPr>
              <w:t>To have a conviction and sentence reviewed by a higher court</w:t>
            </w:r>
            <w:r w:rsidR="00BC349B">
              <w:rPr>
                <w:webHidden/>
              </w:rPr>
              <w:tab/>
            </w:r>
            <w:r w:rsidR="00BC349B">
              <w:rPr>
                <w:webHidden/>
              </w:rPr>
              <w:fldChar w:fldCharType="begin"/>
            </w:r>
            <w:r w:rsidR="00BC349B">
              <w:rPr>
                <w:webHidden/>
              </w:rPr>
              <w:instrText xml:space="preserve"> PAGEREF _Toc131144670 \h </w:instrText>
            </w:r>
            <w:r w:rsidR="00BC349B">
              <w:rPr>
                <w:webHidden/>
              </w:rPr>
            </w:r>
            <w:r w:rsidR="00BC349B">
              <w:rPr>
                <w:webHidden/>
              </w:rPr>
              <w:fldChar w:fldCharType="separate"/>
            </w:r>
            <w:r w:rsidR="00BC349B">
              <w:rPr>
                <w:webHidden/>
              </w:rPr>
              <w:t>43</w:t>
            </w:r>
            <w:r w:rsidR="00BC349B">
              <w:rPr>
                <w:webHidden/>
              </w:rPr>
              <w:fldChar w:fldCharType="end"/>
            </w:r>
          </w:hyperlink>
        </w:p>
        <w:p w14:paraId="74BD0F53" w14:textId="2776897E" w:rsidR="00BC349B" w:rsidRDefault="00000000">
          <w:pPr>
            <w:pStyle w:val="TOC3"/>
            <w:rPr>
              <w:rFonts w:asciiTheme="minorHAnsi" w:eastAsiaTheme="minorEastAsia" w:hAnsiTheme="minorHAnsi" w:cstheme="minorBidi"/>
              <w:b w:val="0"/>
              <w:bCs w:val="0"/>
              <w:sz w:val="22"/>
            </w:rPr>
          </w:pPr>
          <w:hyperlink w:anchor="_Toc131144671" w:history="1">
            <w:r w:rsidR="00BC349B" w:rsidRPr="002B6C02">
              <w:rPr>
                <w:rStyle w:val="Hyperlink"/>
                <w:rFonts w:ascii="Open Sans" w:hAnsi="Open Sans" w:cs="Open Sans"/>
              </w:rPr>
              <w:t>To be paid compensation where a criminal conviction has been overturned or where a person has been pardoned in situations involving a miscarriage of justice</w:t>
            </w:r>
            <w:r w:rsidR="00BC349B">
              <w:rPr>
                <w:webHidden/>
              </w:rPr>
              <w:tab/>
            </w:r>
            <w:r w:rsidR="00BC349B">
              <w:rPr>
                <w:webHidden/>
              </w:rPr>
              <w:fldChar w:fldCharType="begin"/>
            </w:r>
            <w:r w:rsidR="00BC349B">
              <w:rPr>
                <w:webHidden/>
              </w:rPr>
              <w:instrText xml:space="preserve"> PAGEREF _Toc131144671 \h </w:instrText>
            </w:r>
            <w:r w:rsidR="00BC349B">
              <w:rPr>
                <w:webHidden/>
              </w:rPr>
            </w:r>
            <w:r w:rsidR="00BC349B">
              <w:rPr>
                <w:webHidden/>
              </w:rPr>
              <w:fldChar w:fldCharType="separate"/>
            </w:r>
            <w:r w:rsidR="00BC349B">
              <w:rPr>
                <w:webHidden/>
              </w:rPr>
              <w:t>43</w:t>
            </w:r>
            <w:r w:rsidR="00BC349B">
              <w:rPr>
                <w:webHidden/>
              </w:rPr>
              <w:fldChar w:fldCharType="end"/>
            </w:r>
          </w:hyperlink>
        </w:p>
        <w:p w14:paraId="1401CAA2" w14:textId="5EDDD8A6" w:rsidR="00BC349B" w:rsidRDefault="00000000">
          <w:pPr>
            <w:pStyle w:val="TOC3"/>
            <w:rPr>
              <w:rFonts w:asciiTheme="minorHAnsi" w:eastAsiaTheme="minorEastAsia" w:hAnsiTheme="minorHAnsi" w:cstheme="minorBidi"/>
              <w:b w:val="0"/>
              <w:bCs w:val="0"/>
              <w:sz w:val="22"/>
            </w:rPr>
          </w:pPr>
          <w:hyperlink w:anchor="_Toc131144672" w:history="1">
            <w:r w:rsidR="00BC349B" w:rsidRPr="002B6C02">
              <w:rPr>
                <w:rStyle w:val="Hyperlink"/>
                <w:rFonts w:ascii="Open Sans" w:hAnsi="Open Sans" w:cs="Open Sans"/>
              </w:rPr>
              <w:t>Not to be tried or punished more than once</w:t>
            </w:r>
            <w:r w:rsidR="00BC349B">
              <w:rPr>
                <w:webHidden/>
              </w:rPr>
              <w:tab/>
            </w:r>
            <w:r w:rsidR="00BC349B">
              <w:rPr>
                <w:webHidden/>
              </w:rPr>
              <w:fldChar w:fldCharType="begin"/>
            </w:r>
            <w:r w:rsidR="00BC349B">
              <w:rPr>
                <w:webHidden/>
              </w:rPr>
              <w:instrText xml:space="preserve"> PAGEREF _Toc131144672 \h </w:instrText>
            </w:r>
            <w:r w:rsidR="00BC349B">
              <w:rPr>
                <w:webHidden/>
              </w:rPr>
            </w:r>
            <w:r w:rsidR="00BC349B">
              <w:rPr>
                <w:webHidden/>
              </w:rPr>
              <w:fldChar w:fldCharType="separate"/>
            </w:r>
            <w:r w:rsidR="00BC349B">
              <w:rPr>
                <w:webHidden/>
              </w:rPr>
              <w:t>43</w:t>
            </w:r>
            <w:r w:rsidR="00BC349B">
              <w:rPr>
                <w:webHidden/>
              </w:rPr>
              <w:fldChar w:fldCharType="end"/>
            </w:r>
          </w:hyperlink>
        </w:p>
        <w:p w14:paraId="23C7567C" w14:textId="01090496" w:rsidR="00BC349B" w:rsidRDefault="00000000">
          <w:pPr>
            <w:pStyle w:val="TOC3"/>
            <w:rPr>
              <w:rFonts w:asciiTheme="minorHAnsi" w:eastAsiaTheme="minorEastAsia" w:hAnsiTheme="minorHAnsi" w:cstheme="minorBidi"/>
              <w:b w:val="0"/>
              <w:bCs w:val="0"/>
              <w:sz w:val="22"/>
            </w:rPr>
          </w:pPr>
          <w:hyperlink w:anchor="_Toc131144673" w:history="1">
            <w:r w:rsidR="00BC349B" w:rsidRPr="002B6C02">
              <w:rPr>
                <w:rStyle w:val="Hyperlink"/>
                <w:rFonts w:ascii="Open Sans" w:hAnsi="Open Sans" w:cs="Open Sans"/>
              </w:rPr>
              <w:t>Children in the criminal process</w:t>
            </w:r>
            <w:r w:rsidR="00BC349B">
              <w:rPr>
                <w:webHidden/>
              </w:rPr>
              <w:tab/>
            </w:r>
            <w:r w:rsidR="00BC349B">
              <w:rPr>
                <w:webHidden/>
              </w:rPr>
              <w:fldChar w:fldCharType="begin"/>
            </w:r>
            <w:r w:rsidR="00BC349B">
              <w:rPr>
                <w:webHidden/>
              </w:rPr>
              <w:instrText xml:space="preserve"> PAGEREF _Toc131144673 \h </w:instrText>
            </w:r>
            <w:r w:rsidR="00BC349B">
              <w:rPr>
                <w:webHidden/>
              </w:rPr>
            </w:r>
            <w:r w:rsidR="00BC349B">
              <w:rPr>
                <w:webHidden/>
              </w:rPr>
              <w:fldChar w:fldCharType="separate"/>
            </w:r>
            <w:r w:rsidR="00BC349B">
              <w:rPr>
                <w:webHidden/>
              </w:rPr>
              <w:t>44</w:t>
            </w:r>
            <w:r w:rsidR="00BC349B">
              <w:rPr>
                <w:webHidden/>
              </w:rPr>
              <w:fldChar w:fldCharType="end"/>
            </w:r>
          </w:hyperlink>
        </w:p>
        <w:p w14:paraId="314D9E47" w14:textId="2575A456" w:rsidR="00BC349B" w:rsidRDefault="00000000">
          <w:pPr>
            <w:pStyle w:val="TOC2"/>
            <w:rPr>
              <w:rFonts w:cstheme="minorBidi"/>
              <w:sz w:val="22"/>
              <w:szCs w:val="22"/>
              <w:lang w:val="en-AU" w:eastAsia="en-AU"/>
            </w:rPr>
          </w:pPr>
          <w:hyperlink w:anchor="_Toc131144674" w:history="1">
            <w:r w:rsidR="00BC349B" w:rsidRPr="002B6C02">
              <w:rPr>
                <w:rStyle w:val="Hyperlink"/>
                <w:rFonts w:ascii="Open Sans" w:hAnsi="Open Sans" w:cs="Open Sans"/>
              </w:rPr>
              <w:t>Can minimum guarantees in criminal proceedings be limited?</w:t>
            </w:r>
            <w:r w:rsidR="00BC349B">
              <w:rPr>
                <w:webHidden/>
              </w:rPr>
              <w:tab/>
            </w:r>
            <w:r w:rsidR="00BC349B">
              <w:rPr>
                <w:webHidden/>
              </w:rPr>
              <w:fldChar w:fldCharType="begin"/>
            </w:r>
            <w:r w:rsidR="00BC349B">
              <w:rPr>
                <w:webHidden/>
              </w:rPr>
              <w:instrText xml:space="preserve"> PAGEREF _Toc131144674 \h </w:instrText>
            </w:r>
            <w:r w:rsidR="00BC349B">
              <w:rPr>
                <w:webHidden/>
              </w:rPr>
            </w:r>
            <w:r w:rsidR="00BC349B">
              <w:rPr>
                <w:webHidden/>
              </w:rPr>
              <w:fldChar w:fldCharType="separate"/>
            </w:r>
            <w:r w:rsidR="00BC349B">
              <w:rPr>
                <w:webHidden/>
              </w:rPr>
              <w:t>44</w:t>
            </w:r>
            <w:r w:rsidR="00BC349B">
              <w:rPr>
                <w:webHidden/>
              </w:rPr>
              <w:fldChar w:fldCharType="end"/>
            </w:r>
          </w:hyperlink>
        </w:p>
        <w:p w14:paraId="09BDCB5C" w14:textId="60F871B1" w:rsidR="00BC349B" w:rsidRDefault="00000000">
          <w:pPr>
            <w:pStyle w:val="TOC3"/>
            <w:rPr>
              <w:rFonts w:asciiTheme="minorHAnsi" w:eastAsiaTheme="minorEastAsia" w:hAnsiTheme="minorHAnsi" w:cstheme="minorBidi"/>
              <w:b w:val="0"/>
              <w:bCs w:val="0"/>
              <w:sz w:val="22"/>
            </w:rPr>
          </w:pPr>
          <w:hyperlink w:anchor="_Toc131144675" w:history="1">
            <w:r w:rsidR="00BC349B" w:rsidRPr="002B6C02">
              <w:rPr>
                <w:rStyle w:val="Hyperlink"/>
                <w:rFonts w:ascii="Open Sans" w:hAnsi="Open Sans" w:cs="Open Sans"/>
              </w:rPr>
              <w:t>Derogation</w:t>
            </w:r>
            <w:r w:rsidR="00BC349B">
              <w:rPr>
                <w:webHidden/>
              </w:rPr>
              <w:tab/>
            </w:r>
            <w:r w:rsidR="00BC349B">
              <w:rPr>
                <w:webHidden/>
              </w:rPr>
              <w:fldChar w:fldCharType="begin"/>
            </w:r>
            <w:r w:rsidR="00BC349B">
              <w:rPr>
                <w:webHidden/>
              </w:rPr>
              <w:instrText xml:space="preserve"> PAGEREF _Toc131144675 \h </w:instrText>
            </w:r>
            <w:r w:rsidR="00BC349B">
              <w:rPr>
                <w:webHidden/>
              </w:rPr>
            </w:r>
            <w:r w:rsidR="00BC349B">
              <w:rPr>
                <w:webHidden/>
              </w:rPr>
              <w:fldChar w:fldCharType="separate"/>
            </w:r>
            <w:r w:rsidR="00BC349B">
              <w:rPr>
                <w:webHidden/>
              </w:rPr>
              <w:t>44</w:t>
            </w:r>
            <w:r w:rsidR="00BC349B">
              <w:rPr>
                <w:webHidden/>
              </w:rPr>
              <w:fldChar w:fldCharType="end"/>
            </w:r>
          </w:hyperlink>
        </w:p>
        <w:p w14:paraId="512F396D" w14:textId="321A41D7" w:rsidR="00BC349B" w:rsidRDefault="00000000">
          <w:pPr>
            <w:pStyle w:val="TOC3"/>
            <w:rPr>
              <w:rFonts w:asciiTheme="minorHAnsi" w:eastAsiaTheme="minorEastAsia" w:hAnsiTheme="minorHAnsi" w:cstheme="minorBidi"/>
              <w:b w:val="0"/>
              <w:bCs w:val="0"/>
              <w:sz w:val="22"/>
            </w:rPr>
          </w:pPr>
          <w:hyperlink w:anchor="_Toc131144676" w:history="1">
            <w:r w:rsidR="00BC349B" w:rsidRPr="002B6C02">
              <w:rPr>
                <w:rStyle w:val="Hyperlink"/>
                <w:rFonts w:ascii="Open Sans" w:hAnsi="Open Sans" w:cs="Open Sans"/>
              </w:rPr>
              <w:t>Limitation</w:t>
            </w:r>
            <w:r w:rsidR="00BC349B">
              <w:rPr>
                <w:webHidden/>
              </w:rPr>
              <w:tab/>
            </w:r>
            <w:r w:rsidR="00BC349B">
              <w:rPr>
                <w:webHidden/>
              </w:rPr>
              <w:fldChar w:fldCharType="begin"/>
            </w:r>
            <w:r w:rsidR="00BC349B">
              <w:rPr>
                <w:webHidden/>
              </w:rPr>
              <w:instrText xml:space="preserve"> PAGEREF _Toc131144676 \h </w:instrText>
            </w:r>
            <w:r w:rsidR="00BC349B">
              <w:rPr>
                <w:webHidden/>
              </w:rPr>
            </w:r>
            <w:r w:rsidR="00BC349B">
              <w:rPr>
                <w:webHidden/>
              </w:rPr>
              <w:fldChar w:fldCharType="separate"/>
            </w:r>
            <w:r w:rsidR="00BC349B">
              <w:rPr>
                <w:webHidden/>
              </w:rPr>
              <w:t>44</w:t>
            </w:r>
            <w:r w:rsidR="00BC349B">
              <w:rPr>
                <w:webHidden/>
              </w:rPr>
              <w:fldChar w:fldCharType="end"/>
            </w:r>
          </w:hyperlink>
        </w:p>
        <w:p w14:paraId="1BBADC7F" w14:textId="61D8B549" w:rsidR="00BC349B" w:rsidRDefault="00000000">
          <w:pPr>
            <w:pStyle w:val="TOC2"/>
            <w:rPr>
              <w:rFonts w:cstheme="minorBidi"/>
              <w:sz w:val="22"/>
              <w:szCs w:val="22"/>
              <w:lang w:val="en-AU" w:eastAsia="en-AU"/>
            </w:rPr>
          </w:pPr>
          <w:hyperlink w:anchor="_Toc131144677" w:history="1">
            <w:r w:rsidR="00BC349B" w:rsidRPr="002B6C02">
              <w:rPr>
                <w:rStyle w:val="Hyperlink"/>
                <w:rFonts w:ascii="Open Sans" w:hAnsi="Open Sans" w:cs="Open Sans"/>
              </w:rPr>
              <w:t>Which domestic laws relate to minimum guarantees in criminal proceedings?</w:t>
            </w:r>
            <w:r w:rsidR="00BC349B">
              <w:rPr>
                <w:webHidden/>
              </w:rPr>
              <w:tab/>
            </w:r>
            <w:r w:rsidR="00BC349B">
              <w:rPr>
                <w:webHidden/>
              </w:rPr>
              <w:fldChar w:fldCharType="begin"/>
            </w:r>
            <w:r w:rsidR="00BC349B">
              <w:rPr>
                <w:webHidden/>
              </w:rPr>
              <w:instrText xml:space="preserve"> PAGEREF _Toc131144677 \h </w:instrText>
            </w:r>
            <w:r w:rsidR="00BC349B">
              <w:rPr>
                <w:webHidden/>
              </w:rPr>
            </w:r>
            <w:r w:rsidR="00BC349B">
              <w:rPr>
                <w:webHidden/>
              </w:rPr>
              <w:fldChar w:fldCharType="separate"/>
            </w:r>
            <w:r w:rsidR="00BC349B">
              <w:rPr>
                <w:webHidden/>
              </w:rPr>
              <w:t>44</w:t>
            </w:r>
            <w:r w:rsidR="00BC349B">
              <w:rPr>
                <w:webHidden/>
              </w:rPr>
              <w:fldChar w:fldCharType="end"/>
            </w:r>
          </w:hyperlink>
        </w:p>
        <w:p w14:paraId="6AA9BC11" w14:textId="56C4371E" w:rsidR="00BC349B" w:rsidRDefault="00000000">
          <w:pPr>
            <w:pStyle w:val="TOC2"/>
            <w:rPr>
              <w:rFonts w:cstheme="minorBidi"/>
              <w:sz w:val="22"/>
              <w:szCs w:val="22"/>
              <w:lang w:val="en-AU" w:eastAsia="en-AU"/>
            </w:rPr>
          </w:pPr>
          <w:hyperlink w:anchor="_Toc131144678" w:history="1">
            <w:r w:rsidR="00BC349B" w:rsidRPr="002B6C02">
              <w:rPr>
                <w:rStyle w:val="Hyperlink"/>
                <w:rFonts w:ascii="Open Sans" w:hAnsi="Open Sans" w:cs="Open Sans"/>
              </w:rPr>
              <w:t>What other rights and freedoms relate to minimum guarantees in criminal proceedings?</w:t>
            </w:r>
            <w:r w:rsidR="00BC349B">
              <w:rPr>
                <w:webHidden/>
              </w:rPr>
              <w:tab/>
            </w:r>
            <w:r w:rsidR="00BC349B">
              <w:rPr>
                <w:webHidden/>
              </w:rPr>
              <w:fldChar w:fldCharType="begin"/>
            </w:r>
            <w:r w:rsidR="00BC349B">
              <w:rPr>
                <w:webHidden/>
              </w:rPr>
              <w:instrText xml:space="preserve"> PAGEREF _Toc131144678 \h </w:instrText>
            </w:r>
            <w:r w:rsidR="00BC349B">
              <w:rPr>
                <w:webHidden/>
              </w:rPr>
            </w:r>
            <w:r w:rsidR="00BC349B">
              <w:rPr>
                <w:webHidden/>
              </w:rPr>
              <w:fldChar w:fldCharType="separate"/>
            </w:r>
            <w:r w:rsidR="00BC349B">
              <w:rPr>
                <w:webHidden/>
              </w:rPr>
              <w:t>45</w:t>
            </w:r>
            <w:r w:rsidR="00BC349B">
              <w:rPr>
                <w:webHidden/>
              </w:rPr>
              <w:fldChar w:fldCharType="end"/>
            </w:r>
          </w:hyperlink>
        </w:p>
        <w:p w14:paraId="0CA0C068" w14:textId="0C2A0910" w:rsidR="00BC349B" w:rsidRDefault="00000000">
          <w:pPr>
            <w:pStyle w:val="TOC2"/>
            <w:rPr>
              <w:rFonts w:cstheme="minorBidi"/>
              <w:sz w:val="22"/>
              <w:szCs w:val="22"/>
              <w:lang w:val="en-AU" w:eastAsia="en-AU"/>
            </w:rPr>
          </w:pPr>
          <w:hyperlink w:anchor="_Toc131144679" w:history="1">
            <w:r w:rsidR="00BC349B" w:rsidRPr="002B6C02">
              <w:rPr>
                <w:rStyle w:val="Hyperlink"/>
                <w:rFonts w:ascii="Open Sans" w:hAnsi="Open Sans" w:cs="Open Sans"/>
              </w:rPr>
              <w:t>Articles from relevant Conventions</w:t>
            </w:r>
            <w:r w:rsidR="00BC349B">
              <w:rPr>
                <w:webHidden/>
              </w:rPr>
              <w:tab/>
            </w:r>
            <w:r w:rsidR="00BC349B">
              <w:rPr>
                <w:webHidden/>
              </w:rPr>
              <w:fldChar w:fldCharType="begin"/>
            </w:r>
            <w:r w:rsidR="00BC349B">
              <w:rPr>
                <w:webHidden/>
              </w:rPr>
              <w:instrText xml:space="preserve"> PAGEREF _Toc131144679 \h </w:instrText>
            </w:r>
            <w:r w:rsidR="00BC349B">
              <w:rPr>
                <w:webHidden/>
              </w:rPr>
            </w:r>
            <w:r w:rsidR="00BC349B">
              <w:rPr>
                <w:webHidden/>
              </w:rPr>
              <w:fldChar w:fldCharType="separate"/>
            </w:r>
            <w:r w:rsidR="00BC349B">
              <w:rPr>
                <w:webHidden/>
              </w:rPr>
              <w:t>45</w:t>
            </w:r>
            <w:r w:rsidR="00BC349B">
              <w:rPr>
                <w:webHidden/>
              </w:rPr>
              <w:fldChar w:fldCharType="end"/>
            </w:r>
          </w:hyperlink>
        </w:p>
        <w:p w14:paraId="0E01FC4C" w14:textId="7CEF8C05" w:rsidR="00BC349B" w:rsidRDefault="00000000">
          <w:pPr>
            <w:pStyle w:val="TOC2"/>
            <w:rPr>
              <w:rFonts w:cstheme="minorBidi"/>
              <w:sz w:val="22"/>
              <w:szCs w:val="22"/>
              <w:lang w:val="en-AU" w:eastAsia="en-AU"/>
            </w:rPr>
          </w:pPr>
          <w:hyperlink w:anchor="_Toc131144680" w:history="1">
            <w:r w:rsidR="00BC349B" w:rsidRPr="002B6C02">
              <w:rPr>
                <w:rStyle w:val="Hyperlink"/>
                <w:rFonts w:ascii="Open Sans" w:hAnsi="Open Sans" w:cs="Open Sans"/>
              </w:rPr>
              <w:t>Where can I read more about minimum guarantees in criminal proceedings?</w:t>
            </w:r>
            <w:r w:rsidR="00BC349B">
              <w:rPr>
                <w:webHidden/>
              </w:rPr>
              <w:tab/>
            </w:r>
            <w:r w:rsidR="00BC349B">
              <w:rPr>
                <w:webHidden/>
              </w:rPr>
              <w:fldChar w:fldCharType="begin"/>
            </w:r>
            <w:r w:rsidR="00BC349B">
              <w:rPr>
                <w:webHidden/>
              </w:rPr>
              <w:instrText xml:space="preserve"> PAGEREF _Toc131144680 \h </w:instrText>
            </w:r>
            <w:r w:rsidR="00BC349B">
              <w:rPr>
                <w:webHidden/>
              </w:rPr>
            </w:r>
            <w:r w:rsidR="00BC349B">
              <w:rPr>
                <w:webHidden/>
              </w:rPr>
              <w:fldChar w:fldCharType="separate"/>
            </w:r>
            <w:r w:rsidR="00BC349B">
              <w:rPr>
                <w:webHidden/>
              </w:rPr>
              <w:t>46</w:t>
            </w:r>
            <w:r w:rsidR="00BC349B">
              <w:rPr>
                <w:webHidden/>
              </w:rPr>
              <w:fldChar w:fldCharType="end"/>
            </w:r>
          </w:hyperlink>
        </w:p>
        <w:p w14:paraId="7D38B105" w14:textId="61C0892F" w:rsidR="00BC349B" w:rsidRDefault="00000000">
          <w:pPr>
            <w:pStyle w:val="TOC1"/>
            <w:rPr>
              <w:rFonts w:asciiTheme="minorHAnsi" w:eastAsiaTheme="minorEastAsia" w:hAnsiTheme="minorHAnsi"/>
              <w:b w:val="0"/>
              <w:bCs w:val="0"/>
              <w:sz w:val="22"/>
              <w:lang w:val="en-AU" w:eastAsia="en-AU"/>
            </w:rPr>
          </w:pPr>
          <w:hyperlink w:anchor="_Toc131144681" w:history="1">
            <w:r w:rsidR="00BC349B" w:rsidRPr="002B6C02">
              <w:rPr>
                <w:rStyle w:val="Hyperlink"/>
                <w:rFonts w:ascii="Source Sans Pro" w:hAnsi="Source Sans Pro"/>
              </w:rPr>
              <w:t>The Privacy Act</w:t>
            </w:r>
            <w:r w:rsidR="00BC349B">
              <w:rPr>
                <w:webHidden/>
              </w:rPr>
              <w:tab/>
            </w:r>
            <w:r w:rsidR="00BC349B">
              <w:rPr>
                <w:webHidden/>
              </w:rPr>
              <w:fldChar w:fldCharType="begin"/>
            </w:r>
            <w:r w:rsidR="00BC349B">
              <w:rPr>
                <w:webHidden/>
              </w:rPr>
              <w:instrText xml:space="preserve"> PAGEREF _Toc131144681 \h </w:instrText>
            </w:r>
            <w:r w:rsidR="00BC349B">
              <w:rPr>
                <w:webHidden/>
              </w:rPr>
            </w:r>
            <w:r w:rsidR="00BC349B">
              <w:rPr>
                <w:webHidden/>
              </w:rPr>
              <w:fldChar w:fldCharType="separate"/>
            </w:r>
            <w:r w:rsidR="00BC349B">
              <w:rPr>
                <w:webHidden/>
              </w:rPr>
              <w:t>47</w:t>
            </w:r>
            <w:r w:rsidR="00BC349B">
              <w:rPr>
                <w:webHidden/>
              </w:rPr>
              <w:fldChar w:fldCharType="end"/>
            </w:r>
          </w:hyperlink>
        </w:p>
        <w:p w14:paraId="02EBFC9D" w14:textId="02475F89" w:rsidR="00BC349B" w:rsidRDefault="00000000">
          <w:pPr>
            <w:pStyle w:val="TOC2"/>
            <w:rPr>
              <w:rFonts w:cstheme="minorBidi"/>
              <w:sz w:val="22"/>
              <w:szCs w:val="22"/>
              <w:lang w:val="en-AU" w:eastAsia="en-AU"/>
            </w:rPr>
          </w:pPr>
          <w:hyperlink w:anchor="_Toc131144682" w:history="1">
            <w:r w:rsidR="00BC349B" w:rsidRPr="002B6C02">
              <w:rPr>
                <w:rStyle w:val="Hyperlink"/>
                <w:rFonts w:ascii="Source Sans Pro" w:hAnsi="Source Sans Pro"/>
              </w:rPr>
              <w:t>The </w:t>
            </w:r>
            <w:r w:rsidR="00BC349B" w:rsidRPr="002B6C02">
              <w:rPr>
                <w:rStyle w:val="Hyperlink"/>
                <w:rFonts w:ascii="Source Sans Pro" w:eastAsiaTheme="majorEastAsia" w:hAnsi="Source Sans Pro"/>
                <w:i/>
                <w:iCs/>
              </w:rPr>
              <w:t>Privacy Act 1988</w:t>
            </w:r>
            <w:r w:rsidR="00BC349B" w:rsidRPr="002B6C02">
              <w:rPr>
                <w:rStyle w:val="Hyperlink"/>
                <w:rFonts w:ascii="Source Sans Pro" w:hAnsi="Source Sans Pro"/>
              </w:rPr>
              <w:t> was introduced to promote and protect the privacy of individuals and to regulate how Australian Government agencies and organisations with an annual turnover of more than $3 million, and some other organisations, handle personal information.</w:t>
            </w:r>
            <w:r w:rsidR="00BC349B">
              <w:rPr>
                <w:webHidden/>
              </w:rPr>
              <w:tab/>
            </w:r>
            <w:r w:rsidR="00BC349B">
              <w:rPr>
                <w:webHidden/>
              </w:rPr>
              <w:fldChar w:fldCharType="begin"/>
            </w:r>
            <w:r w:rsidR="00BC349B">
              <w:rPr>
                <w:webHidden/>
              </w:rPr>
              <w:instrText xml:space="preserve"> PAGEREF _Toc131144682 \h </w:instrText>
            </w:r>
            <w:r w:rsidR="00BC349B">
              <w:rPr>
                <w:webHidden/>
              </w:rPr>
            </w:r>
            <w:r w:rsidR="00BC349B">
              <w:rPr>
                <w:webHidden/>
              </w:rPr>
              <w:fldChar w:fldCharType="separate"/>
            </w:r>
            <w:r w:rsidR="00BC349B">
              <w:rPr>
                <w:webHidden/>
              </w:rPr>
              <w:t>47</w:t>
            </w:r>
            <w:r w:rsidR="00BC349B">
              <w:rPr>
                <w:webHidden/>
              </w:rPr>
              <w:fldChar w:fldCharType="end"/>
            </w:r>
          </w:hyperlink>
        </w:p>
        <w:p w14:paraId="3246C6D0" w14:textId="425C19F2" w:rsidR="00BC349B" w:rsidRDefault="00000000">
          <w:pPr>
            <w:pStyle w:val="TOC2"/>
            <w:rPr>
              <w:rFonts w:cstheme="minorBidi"/>
              <w:sz w:val="22"/>
              <w:szCs w:val="22"/>
              <w:lang w:val="en-AU" w:eastAsia="en-AU"/>
            </w:rPr>
          </w:pPr>
          <w:hyperlink w:anchor="_Toc131144683" w:history="1">
            <w:r w:rsidR="00BC349B" w:rsidRPr="002B6C02">
              <w:rPr>
                <w:rStyle w:val="Hyperlink"/>
              </w:rPr>
              <w:t>Rule of Law Education Centre</w:t>
            </w:r>
            <w:r w:rsidR="00BC349B">
              <w:rPr>
                <w:webHidden/>
              </w:rPr>
              <w:tab/>
            </w:r>
            <w:r w:rsidR="00BC349B">
              <w:rPr>
                <w:webHidden/>
              </w:rPr>
              <w:fldChar w:fldCharType="begin"/>
            </w:r>
            <w:r w:rsidR="00BC349B">
              <w:rPr>
                <w:webHidden/>
              </w:rPr>
              <w:instrText xml:space="preserve"> PAGEREF _Toc131144683 \h </w:instrText>
            </w:r>
            <w:r w:rsidR="00BC349B">
              <w:rPr>
                <w:webHidden/>
              </w:rPr>
            </w:r>
            <w:r w:rsidR="00BC349B">
              <w:rPr>
                <w:webHidden/>
              </w:rPr>
              <w:fldChar w:fldCharType="separate"/>
            </w:r>
            <w:r w:rsidR="00BC349B">
              <w:rPr>
                <w:webHidden/>
              </w:rPr>
              <w:t>47</w:t>
            </w:r>
            <w:r w:rsidR="00BC349B">
              <w:rPr>
                <w:webHidden/>
              </w:rPr>
              <w:fldChar w:fldCharType="end"/>
            </w:r>
          </w:hyperlink>
        </w:p>
        <w:p w14:paraId="6045E0BF" w14:textId="08A8AE08" w:rsidR="00BC349B" w:rsidRDefault="00000000">
          <w:pPr>
            <w:pStyle w:val="TOC2"/>
            <w:rPr>
              <w:rFonts w:cstheme="minorBidi"/>
              <w:sz w:val="22"/>
              <w:szCs w:val="22"/>
              <w:lang w:val="en-AU" w:eastAsia="en-AU"/>
            </w:rPr>
          </w:pPr>
          <w:hyperlink w:anchor="_Toc131144684" w:history="1">
            <w:r w:rsidR="00BC349B" w:rsidRPr="002B6C02">
              <w:rPr>
                <w:rStyle w:val="Hyperlink"/>
                <w:rFonts w:ascii="Montserrat" w:hAnsi="Montserrat"/>
                <w:spacing w:val="8"/>
              </w:rPr>
              <w:t>What are the specific checks and balances on each arm of government?</w:t>
            </w:r>
            <w:r w:rsidR="00BC349B">
              <w:rPr>
                <w:webHidden/>
              </w:rPr>
              <w:tab/>
            </w:r>
            <w:r w:rsidR="00BC349B">
              <w:rPr>
                <w:webHidden/>
              </w:rPr>
              <w:fldChar w:fldCharType="begin"/>
            </w:r>
            <w:r w:rsidR="00BC349B">
              <w:rPr>
                <w:webHidden/>
              </w:rPr>
              <w:instrText xml:space="preserve"> PAGEREF _Toc131144684 \h </w:instrText>
            </w:r>
            <w:r w:rsidR="00BC349B">
              <w:rPr>
                <w:webHidden/>
              </w:rPr>
            </w:r>
            <w:r w:rsidR="00BC349B">
              <w:rPr>
                <w:webHidden/>
              </w:rPr>
              <w:fldChar w:fldCharType="separate"/>
            </w:r>
            <w:r w:rsidR="00BC349B">
              <w:rPr>
                <w:webHidden/>
              </w:rPr>
              <w:t>47</w:t>
            </w:r>
            <w:r w:rsidR="00BC349B">
              <w:rPr>
                <w:webHidden/>
              </w:rPr>
              <w:fldChar w:fldCharType="end"/>
            </w:r>
          </w:hyperlink>
        </w:p>
        <w:p w14:paraId="73CBDF4B" w14:textId="27801E46" w:rsidR="00BC349B" w:rsidRDefault="00000000">
          <w:pPr>
            <w:pStyle w:val="TOC1"/>
            <w:rPr>
              <w:rFonts w:asciiTheme="minorHAnsi" w:eastAsiaTheme="minorEastAsia" w:hAnsiTheme="minorHAnsi"/>
              <w:b w:val="0"/>
              <w:bCs w:val="0"/>
              <w:sz w:val="22"/>
              <w:lang w:val="en-AU" w:eastAsia="en-AU"/>
            </w:rPr>
          </w:pPr>
          <w:hyperlink w:anchor="_Toc131144685" w:history="1">
            <w:r w:rsidR="00BC349B" w:rsidRPr="002B6C02">
              <w:rPr>
                <w:rStyle w:val="Hyperlink"/>
                <w:rFonts w:ascii="inherit" w:hAnsi="inherit"/>
                <w:spacing w:val="8"/>
                <w:bdr w:val="none" w:sz="0" w:space="0" w:color="auto" w:frame="1"/>
              </w:rPr>
              <w:t>1. The Judiciary</w:t>
            </w:r>
            <w:r w:rsidR="00BC349B">
              <w:rPr>
                <w:webHidden/>
              </w:rPr>
              <w:tab/>
            </w:r>
            <w:r w:rsidR="00BC349B">
              <w:rPr>
                <w:webHidden/>
              </w:rPr>
              <w:fldChar w:fldCharType="begin"/>
            </w:r>
            <w:r w:rsidR="00BC349B">
              <w:rPr>
                <w:webHidden/>
              </w:rPr>
              <w:instrText xml:space="preserve"> PAGEREF _Toc131144685 \h </w:instrText>
            </w:r>
            <w:r w:rsidR="00BC349B">
              <w:rPr>
                <w:webHidden/>
              </w:rPr>
            </w:r>
            <w:r w:rsidR="00BC349B">
              <w:rPr>
                <w:webHidden/>
              </w:rPr>
              <w:fldChar w:fldCharType="separate"/>
            </w:r>
            <w:r w:rsidR="00BC349B">
              <w:rPr>
                <w:webHidden/>
              </w:rPr>
              <w:t>47</w:t>
            </w:r>
            <w:r w:rsidR="00BC349B">
              <w:rPr>
                <w:webHidden/>
              </w:rPr>
              <w:fldChar w:fldCharType="end"/>
            </w:r>
          </w:hyperlink>
        </w:p>
        <w:p w14:paraId="6F422D44" w14:textId="6281B109" w:rsidR="00BC349B" w:rsidRDefault="00000000">
          <w:pPr>
            <w:pStyle w:val="TOC1"/>
            <w:rPr>
              <w:rFonts w:asciiTheme="minorHAnsi" w:eastAsiaTheme="minorEastAsia" w:hAnsiTheme="minorHAnsi"/>
              <w:b w:val="0"/>
              <w:bCs w:val="0"/>
              <w:sz w:val="22"/>
              <w:lang w:val="en-AU" w:eastAsia="en-AU"/>
            </w:rPr>
          </w:pPr>
          <w:hyperlink w:anchor="_Toc131144686" w:history="1">
            <w:r w:rsidR="00BC349B" w:rsidRPr="002B6C02">
              <w:rPr>
                <w:rStyle w:val="Hyperlink"/>
                <w:rFonts w:ascii="inherit" w:hAnsi="inherit"/>
                <w:spacing w:val="8"/>
                <w:bdr w:val="none" w:sz="0" w:space="0" w:color="auto" w:frame="1"/>
              </w:rPr>
              <w:t>2. The Executive</w:t>
            </w:r>
            <w:r w:rsidR="00BC349B">
              <w:rPr>
                <w:webHidden/>
              </w:rPr>
              <w:tab/>
            </w:r>
            <w:r w:rsidR="00BC349B">
              <w:rPr>
                <w:webHidden/>
              </w:rPr>
              <w:fldChar w:fldCharType="begin"/>
            </w:r>
            <w:r w:rsidR="00BC349B">
              <w:rPr>
                <w:webHidden/>
              </w:rPr>
              <w:instrText xml:space="preserve"> PAGEREF _Toc131144686 \h </w:instrText>
            </w:r>
            <w:r w:rsidR="00BC349B">
              <w:rPr>
                <w:webHidden/>
              </w:rPr>
            </w:r>
            <w:r w:rsidR="00BC349B">
              <w:rPr>
                <w:webHidden/>
              </w:rPr>
              <w:fldChar w:fldCharType="separate"/>
            </w:r>
            <w:r w:rsidR="00BC349B">
              <w:rPr>
                <w:webHidden/>
              </w:rPr>
              <w:t>48</w:t>
            </w:r>
            <w:r w:rsidR="00BC349B">
              <w:rPr>
                <w:webHidden/>
              </w:rPr>
              <w:fldChar w:fldCharType="end"/>
            </w:r>
          </w:hyperlink>
        </w:p>
        <w:p w14:paraId="58CF6EA1" w14:textId="313584E1" w:rsidR="00BC349B" w:rsidRDefault="00000000">
          <w:pPr>
            <w:pStyle w:val="TOC1"/>
            <w:rPr>
              <w:rFonts w:asciiTheme="minorHAnsi" w:eastAsiaTheme="minorEastAsia" w:hAnsiTheme="minorHAnsi"/>
              <w:b w:val="0"/>
              <w:bCs w:val="0"/>
              <w:sz w:val="22"/>
              <w:lang w:val="en-AU" w:eastAsia="en-AU"/>
            </w:rPr>
          </w:pPr>
          <w:hyperlink w:anchor="_Toc131144687" w:history="1">
            <w:r w:rsidR="00BC349B" w:rsidRPr="002B6C02">
              <w:rPr>
                <w:rStyle w:val="Hyperlink"/>
                <w:rFonts w:ascii="Montserrat" w:hAnsi="Montserrat"/>
                <w:spacing w:val="8"/>
              </w:rPr>
              <w:t>Citizens and the media</w:t>
            </w:r>
            <w:r w:rsidR="00BC349B">
              <w:rPr>
                <w:webHidden/>
              </w:rPr>
              <w:tab/>
            </w:r>
            <w:r w:rsidR="00BC349B">
              <w:rPr>
                <w:webHidden/>
              </w:rPr>
              <w:fldChar w:fldCharType="begin"/>
            </w:r>
            <w:r w:rsidR="00BC349B">
              <w:rPr>
                <w:webHidden/>
              </w:rPr>
              <w:instrText xml:space="preserve"> PAGEREF _Toc131144687 \h </w:instrText>
            </w:r>
            <w:r w:rsidR="00BC349B">
              <w:rPr>
                <w:webHidden/>
              </w:rPr>
            </w:r>
            <w:r w:rsidR="00BC349B">
              <w:rPr>
                <w:webHidden/>
              </w:rPr>
              <w:fldChar w:fldCharType="separate"/>
            </w:r>
            <w:r w:rsidR="00BC349B">
              <w:rPr>
                <w:webHidden/>
              </w:rPr>
              <w:t>49</w:t>
            </w:r>
            <w:r w:rsidR="00BC349B">
              <w:rPr>
                <w:webHidden/>
              </w:rPr>
              <w:fldChar w:fldCharType="end"/>
            </w:r>
          </w:hyperlink>
        </w:p>
        <w:p w14:paraId="28D40A1B" w14:textId="052C1A87" w:rsidR="00BC349B" w:rsidRDefault="00000000">
          <w:pPr>
            <w:pStyle w:val="TOC2"/>
            <w:rPr>
              <w:rFonts w:cstheme="minorBidi"/>
              <w:sz w:val="22"/>
              <w:szCs w:val="22"/>
              <w:lang w:val="en-AU" w:eastAsia="en-AU"/>
            </w:rPr>
          </w:pPr>
          <w:hyperlink w:anchor="_Toc131144688" w:history="1">
            <w:r w:rsidR="00BC349B" w:rsidRPr="002B6C02">
              <w:rPr>
                <w:rStyle w:val="Hyperlink"/>
                <w:rFonts w:cs="Arial"/>
                <w:kern w:val="36"/>
              </w:rPr>
              <w:t xml:space="preserve">Worldwide COVID </w:t>
            </w:r>
            <w:r w:rsidR="00BC349B" w:rsidRPr="002B6C02">
              <w:rPr>
                <w:rStyle w:val="Hyperlink"/>
                <w:rFonts w:cs="Arial"/>
              </w:rPr>
              <w:t>litigation</w:t>
            </w:r>
            <w:r w:rsidR="00BC349B" w:rsidRPr="002B6C02">
              <w:rPr>
                <w:rStyle w:val="Hyperlink"/>
                <w:rFonts w:cs="Arial"/>
                <w:kern w:val="36"/>
              </w:rPr>
              <w:t xml:space="preserve"> lawyer directory</w:t>
            </w:r>
            <w:r w:rsidR="00BC349B">
              <w:rPr>
                <w:webHidden/>
              </w:rPr>
              <w:tab/>
            </w:r>
            <w:r w:rsidR="00BC349B">
              <w:rPr>
                <w:webHidden/>
              </w:rPr>
              <w:fldChar w:fldCharType="begin"/>
            </w:r>
            <w:r w:rsidR="00BC349B">
              <w:rPr>
                <w:webHidden/>
              </w:rPr>
              <w:instrText xml:space="preserve"> PAGEREF _Toc131144688 \h </w:instrText>
            </w:r>
            <w:r w:rsidR="00BC349B">
              <w:rPr>
                <w:webHidden/>
              </w:rPr>
            </w:r>
            <w:r w:rsidR="00BC349B">
              <w:rPr>
                <w:webHidden/>
              </w:rPr>
              <w:fldChar w:fldCharType="separate"/>
            </w:r>
            <w:r w:rsidR="00BC349B">
              <w:rPr>
                <w:webHidden/>
              </w:rPr>
              <w:t>50</w:t>
            </w:r>
            <w:r w:rsidR="00BC349B">
              <w:rPr>
                <w:webHidden/>
              </w:rPr>
              <w:fldChar w:fldCharType="end"/>
            </w:r>
          </w:hyperlink>
        </w:p>
        <w:p w14:paraId="69946BB2" w14:textId="605A07AC" w:rsidR="00BC349B" w:rsidRDefault="00000000">
          <w:pPr>
            <w:pStyle w:val="TOC1"/>
            <w:rPr>
              <w:rFonts w:asciiTheme="minorHAnsi" w:eastAsiaTheme="minorEastAsia" w:hAnsiTheme="minorHAnsi"/>
              <w:b w:val="0"/>
              <w:bCs w:val="0"/>
              <w:sz w:val="22"/>
              <w:lang w:val="en-AU" w:eastAsia="en-AU"/>
            </w:rPr>
          </w:pPr>
          <w:hyperlink w:anchor="_Toc131144689" w:history="1">
            <w:r w:rsidR="00BC349B" w:rsidRPr="002B6C02">
              <w:rPr>
                <w:rStyle w:val="Hyperlink"/>
              </w:rPr>
              <w:t>AUSTRALIA</w:t>
            </w:r>
            <w:r w:rsidR="00BC349B">
              <w:rPr>
                <w:webHidden/>
              </w:rPr>
              <w:tab/>
            </w:r>
            <w:r w:rsidR="00BC349B">
              <w:rPr>
                <w:webHidden/>
              </w:rPr>
              <w:fldChar w:fldCharType="begin"/>
            </w:r>
            <w:r w:rsidR="00BC349B">
              <w:rPr>
                <w:webHidden/>
              </w:rPr>
              <w:instrText xml:space="preserve"> PAGEREF _Toc131144689 \h </w:instrText>
            </w:r>
            <w:r w:rsidR="00BC349B">
              <w:rPr>
                <w:webHidden/>
              </w:rPr>
            </w:r>
            <w:r w:rsidR="00BC349B">
              <w:rPr>
                <w:webHidden/>
              </w:rPr>
              <w:fldChar w:fldCharType="separate"/>
            </w:r>
            <w:r w:rsidR="00BC349B">
              <w:rPr>
                <w:webHidden/>
              </w:rPr>
              <w:t>51</w:t>
            </w:r>
            <w:r w:rsidR="00BC349B">
              <w:rPr>
                <w:webHidden/>
              </w:rPr>
              <w:fldChar w:fldCharType="end"/>
            </w:r>
          </w:hyperlink>
        </w:p>
        <w:p w14:paraId="7DF48D36" w14:textId="0F4AEC52" w:rsidR="00BC349B" w:rsidRDefault="00000000">
          <w:pPr>
            <w:pStyle w:val="TOC3"/>
            <w:rPr>
              <w:rFonts w:asciiTheme="minorHAnsi" w:eastAsiaTheme="minorEastAsia" w:hAnsiTheme="minorHAnsi" w:cstheme="minorBidi"/>
              <w:b w:val="0"/>
              <w:bCs w:val="0"/>
              <w:sz w:val="22"/>
            </w:rPr>
          </w:pPr>
          <w:hyperlink w:anchor="_Toc131144690" w:history="1">
            <w:r w:rsidR="00BC349B" w:rsidRPr="002B6C02">
              <w:rPr>
                <w:rStyle w:val="Hyperlink"/>
              </w:rPr>
              <w:t>Law firm predicts increase in class action litigation for Covid-19 abuses</w:t>
            </w:r>
            <w:r w:rsidR="00BC349B">
              <w:rPr>
                <w:webHidden/>
              </w:rPr>
              <w:tab/>
            </w:r>
            <w:r w:rsidR="00BC349B">
              <w:rPr>
                <w:webHidden/>
              </w:rPr>
              <w:fldChar w:fldCharType="begin"/>
            </w:r>
            <w:r w:rsidR="00BC349B">
              <w:rPr>
                <w:webHidden/>
              </w:rPr>
              <w:instrText xml:space="preserve"> PAGEREF _Toc131144690 \h </w:instrText>
            </w:r>
            <w:r w:rsidR="00BC349B">
              <w:rPr>
                <w:webHidden/>
              </w:rPr>
            </w:r>
            <w:r w:rsidR="00BC349B">
              <w:rPr>
                <w:webHidden/>
              </w:rPr>
              <w:fldChar w:fldCharType="separate"/>
            </w:r>
            <w:r w:rsidR="00BC349B">
              <w:rPr>
                <w:webHidden/>
              </w:rPr>
              <w:t>51</w:t>
            </w:r>
            <w:r w:rsidR="00BC349B">
              <w:rPr>
                <w:webHidden/>
              </w:rPr>
              <w:fldChar w:fldCharType="end"/>
            </w:r>
          </w:hyperlink>
        </w:p>
        <w:p w14:paraId="29DA52FE" w14:textId="10F01E8C" w:rsidR="00BC349B" w:rsidRDefault="00000000">
          <w:pPr>
            <w:pStyle w:val="TOC3"/>
            <w:rPr>
              <w:rFonts w:asciiTheme="minorHAnsi" w:eastAsiaTheme="minorEastAsia" w:hAnsiTheme="minorHAnsi" w:cstheme="minorBidi"/>
              <w:b w:val="0"/>
              <w:bCs w:val="0"/>
              <w:sz w:val="22"/>
            </w:rPr>
          </w:pPr>
          <w:hyperlink w:anchor="_Toc131144691" w:history="1">
            <w:r w:rsidR="00BC349B" w:rsidRPr="002B6C02">
              <w:rPr>
                <w:rStyle w:val="Hyperlink"/>
              </w:rPr>
              <w:t>Class action against Victorian Government over second COVID-19 lockdown to go ahead</w:t>
            </w:r>
            <w:r w:rsidR="00BC349B">
              <w:rPr>
                <w:webHidden/>
              </w:rPr>
              <w:tab/>
            </w:r>
            <w:r w:rsidR="00BC349B">
              <w:rPr>
                <w:webHidden/>
              </w:rPr>
              <w:fldChar w:fldCharType="begin"/>
            </w:r>
            <w:r w:rsidR="00BC349B">
              <w:rPr>
                <w:webHidden/>
              </w:rPr>
              <w:instrText xml:space="preserve"> PAGEREF _Toc131144691 \h </w:instrText>
            </w:r>
            <w:r w:rsidR="00BC349B">
              <w:rPr>
                <w:webHidden/>
              </w:rPr>
            </w:r>
            <w:r w:rsidR="00BC349B">
              <w:rPr>
                <w:webHidden/>
              </w:rPr>
              <w:fldChar w:fldCharType="separate"/>
            </w:r>
            <w:r w:rsidR="00BC349B">
              <w:rPr>
                <w:webHidden/>
              </w:rPr>
              <w:t>51</w:t>
            </w:r>
            <w:r w:rsidR="00BC349B">
              <w:rPr>
                <w:webHidden/>
              </w:rPr>
              <w:fldChar w:fldCharType="end"/>
            </w:r>
          </w:hyperlink>
        </w:p>
        <w:p w14:paraId="37AEB636" w14:textId="6CEE20DB" w:rsidR="00BC349B" w:rsidRDefault="00000000">
          <w:pPr>
            <w:pStyle w:val="TOC3"/>
            <w:rPr>
              <w:rFonts w:asciiTheme="minorHAnsi" w:eastAsiaTheme="minorEastAsia" w:hAnsiTheme="minorHAnsi" w:cstheme="minorBidi"/>
              <w:b w:val="0"/>
              <w:bCs w:val="0"/>
              <w:sz w:val="22"/>
            </w:rPr>
          </w:pPr>
          <w:hyperlink w:anchor="_Toc131144692" w:history="1">
            <w:r w:rsidR="00BC349B" w:rsidRPr="002B6C02">
              <w:rPr>
                <w:rStyle w:val="Hyperlink"/>
              </w:rPr>
              <w:t>Victorian government faces two big payouts due to lockdown class actions</w:t>
            </w:r>
            <w:r w:rsidR="00BC349B">
              <w:rPr>
                <w:webHidden/>
              </w:rPr>
              <w:tab/>
            </w:r>
            <w:r w:rsidR="00BC349B">
              <w:rPr>
                <w:webHidden/>
              </w:rPr>
              <w:fldChar w:fldCharType="begin"/>
            </w:r>
            <w:r w:rsidR="00BC349B">
              <w:rPr>
                <w:webHidden/>
              </w:rPr>
              <w:instrText xml:space="preserve"> PAGEREF _Toc131144692 \h </w:instrText>
            </w:r>
            <w:r w:rsidR="00BC349B">
              <w:rPr>
                <w:webHidden/>
              </w:rPr>
            </w:r>
            <w:r w:rsidR="00BC349B">
              <w:rPr>
                <w:webHidden/>
              </w:rPr>
              <w:fldChar w:fldCharType="separate"/>
            </w:r>
            <w:r w:rsidR="00BC349B">
              <w:rPr>
                <w:webHidden/>
              </w:rPr>
              <w:t>51</w:t>
            </w:r>
            <w:r w:rsidR="00BC349B">
              <w:rPr>
                <w:webHidden/>
              </w:rPr>
              <w:fldChar w:fldCharType="end"/>
            </w:r>
          </w:hyperlink>
        </w:p>
        <w:p w14:paraId="44910A96" w14:textId="7C779711" w:rsidR="00BC349B" w:rsidRDefault="00000000">
          <w:pPr>
            <w:pStyle w:val="TOC3"/>
            <w:rPr>
              <w:rFonts w:asciiTheme="minorHAnsi" w:eastAsiaTheme="minorEastAsia" w:hAnsiTheme="minorHAnsi" w:cstheme="minorBidi"/>
              <w:b w:val="0"/>
              <w:bCs w:val="0"/>
              <w:sz w:val="22"/>
            </w:rPr>
          </w:pPr>
          <w:hyperlink w:anchor="_Toc131144693" w:history="1">
            <w:r w:rsidR="00BC349B" w:rsidRPr="002B6C02">
              <w:rPr>
                <w:rStyle w:val="Hyperlink"/>
              </w:rPr>
              <w:t>COVID-19 vaccine opponents slapped with $214,000 in legal costs after failed lawsuit</w:t>
            </w:r>
            <w:r w:rsidR="00BC349B">
              <w:rPr>
                <w:webHidden/>
              </w:rPr>
              <w:tab/>
            </w:r>
            <w:r w:rsidR="00BC349B">
              <w:rPr>
                <w:webHidden/>
              </w:rPr>
              <w:fldChar w:fldCharType="begin"/>
            </w:r>
            <w:r w:rsidR="00BC349B">
              <w:rPr>
                <w:webHidden/>
              </w:rPr>
              <w:instrText xml:space="preserve"> PAGEREF _Toc131144693 \h </w:instrText>
            </w:r>
            <w:r w:rsidR="00BC349B">
              <w:rPr>
                <w:webHidden/>
              </w:rPr>
            </w:r>
            <w:r w:rsidR="00BC349B">
              <w:rPr>
                <w:webHidden/>
              </w:rPr>
              <w:fldChar w:fldCharType="separate"/>
            </w:r>
            <w:r w:rsidR="00BC349B">
              <w:rPr>
                <w:webHidden/>
              </w:rPr>
              <w:t>52</w:t>
            </w:r>
            <w:r w:rsidR="00BC349B">
              <w:rPr>
                <w:webHidden/>
              </w:rPr>
              <w:fldChar w:fldCharType="end"/>
            </w:r>
          </w:hyperlink>
        </w:p>
        <w:p w14:paraId="0B4FF596" w14:textId="6A6B7742" w:rsidR="00BC349B" w:rsidRDefault="00000000">
          <w:pPr>
            <w:pStyle w:val="TOC1"/>
            <w:rPr>
              <w:rFonts w:asciiTheme="minorHAnsi" w:eastAsiaTheme="minorEastAsia" w:hAnsiTheme="minorHAnsi"/>
              <w:b w:val="0"/>
              <w:bCs w:val="0"/>
              <w:sz w:val="22"/>
              <w:lang w:val="en-AU" w:eastAsia="en-AU"/>
            </w:rPr>
          </w:pPr>
          <w:hyperlink w:anchor="_Toc131144694" w:history="1">
            <w:r w:rsidR="00BC349B" w:rsidRPr="002B6C02">
              <w:rPr>
                <w:rStyle w:val="Hyperlink"/>
                <w:rFonts w:cs="Arial"/>
                <w:caps/>
                <w:spacing w:val="1"/>
              </w:rPr>
              <w:t>COVID-19 STATE GOVERNMENT (BUSINESS LOSSES) GROUP PROCEEDING (CLASS ACTION)</w:t>
            </w:r>
            <w:r w:rsidR="00BC349B">
              <w:rPr>
                <w:webHidden/>
              </w:rPr>
              <w:tab/>
            </w:r>
            <w:r w:rsidR="00BC349B">
              <w:rPr>
                <w:webHidden/>
              </w:rPr>
              <w:fldChar w:fldCharType="begin"/>
            </w:r>
            <w:r w:rsidR="00BC349B">
              <w:rPr>
                <w:webHidden/>
              </w:rPr>
              <w:instrText xml:space="preserve"> PAGEREF _Toc131144694 \h </w:instrText>
            </w:r>
            <w:r w:rsidR="00BC349B">
              <w:rPr>
                <w:webHidden/>
              </w:rPr>
            </w:r>
            <w:r w:rsidR="00BC349B">
              <w:rPr>
                <w:webHidden/>
              </w:rPr>
              <w:fldChar w:fldCharType="separate"/>
            </w:r>
            <w:r w:rsidR="00BC349B">
              <w:rPr>
                <w:webHidden/>
              </w:rPr>
              <w:t>52</w:t>
            </w:r>
            <w:r w:rsidR="00BC349B">
              <w:rPr>
                <w:webHidden/>
              </w:rPr>
              <w:fldChar w:fldCharType="end"/>
            </w:r>
          </w:hyperlink>
        </w:p>
        <w:p w14:paraId="158D2DD9" w14:textId="04643150" w:rsidR="00BC349B" w:rsidRDefault="00000000">
          <w:pPr>
            <w:pStyle w:val="TOC3"/>
            <w:rPr>
              <w:rFonts w:asciiTheme="minorHAnsi" w:eastAsiaTheme="minorEastAsia" w:hAnsiTheme="minorHAnsi" w:cstheme="minorBidi"/>
              <w:b w:val="0"/>
              <w:bCs w:val="0"/>
              <w:sz w:val="22"/>
            </w:rPr>
          </w:pPr>
          <w:hyperlink w:anchor="_Toc131144695" w:history="1">
            <w:r w:rsidR="00BC349B" w:rsidRPr="002B6C02">
              <w:rPr>
                <w:rStyle w:val="Hyperlink"/>
              </w:rPr>
              <w:t>The major problem with Covid-19 vaccine compensation claims</w:t>
            </w:r>
            <w:r w:rsidR="00BC349B">
              <w:rPr>
                <w:webHidden/>
              </w:rPr>
              <w:tab/>
            </w:r>
            <w:r w:rsidR="00BC349B">
              <w:rPr>
                <w:webHidden/>
              </w:rPr>
              <w:fldChar w:fldCharType="begin"/>
            </w:r>
            <w:r w:rsidR="00BC349B">
              <w:rPr>
                <w:webHidden/>
              </w:rPr>
              <w:instrText xml:space="preserve"> PAGEREF _Toc131144695 \h </w:instrText>
            </w:r>
            <w:r w:rsidR="00BC349B">
              <w:rPr>
                <w:webHidden/>
              </w:rPr>
            </w:r>
            <w:r w:rsidR="00BC349B">
              <w:rPr>
                <w:webHidden/>
              </w:rPr>
              <w:fldChar w:fldCharType="separate"/>
            </w:r>
            <w:r w:rsidR="00BC349B">
              <w:rPr>
                <w:webHidden/>
              </w:rPr>
              <w:t>52</w:t>
            </w:r>
            <w:r w:rsidR="00BC349B">
              <w:rPr>
                <w:webHidden/>
              </w:rPr>
              <w:fldChar w:fldCharType="end"/>
            </w:r>
          </w:hyperlink>
        </w:p>
        <w:p w14:paraId="642493B4" w14:textId="1644D1FD" w:rsidR="00BC349B" w:rsidRDefault="00000000">
          <w:pPr>
            <w:pStyle w:val="TOC3"/>
            <w:rPr>
              <w:rFonts w:asciiTheme="minorHAnsi" w:eastAsiaTheme="minorEastAsia" w:hAnsiTheme="minorHAnsi" w:cstheme="minorBidi"/>
              <w:b w:val="0"/>
              <w:bCs w:val="0"/>
              <w:sz w:val="22"/>
            </w:rPr>
          </w:pPr>
          <w:hyperlink w:anchor="_Toc131144696" w:history="1">
            <w:r w:rsidR="00BC349B" w:rsidRPr="002B6C02">
              <w:rPr>
                <w:rStyle w:val="Hyperlink"/>
                <w:rFonts w:ascii="Barlow Semi Condensed" w:hAnsi="Barlow Semi Condensed"/>
              </w:rPr>
              <w:t>COVID-19 Vaccine Injuries Have Largely Been Ignored</w:t>
            </w:r>
            <w:r w:rsidR="00BC349B">
              <w:rPr>
                <w:webHidden/>
              </w:rPr>
              <w:tab/>
            </w:r>
            <w:r w:rsidR="00BC349B">
              <w:rPr>
                <w:webHidden/>
              </w:rPr>
              <w:fldChar w:fldCharType="begin"/>
            </w:r>
            <w:r w:rsidR="00BC349B">
              <w:rPr>
                <w:webHidden/>
              </w:rPr>
              <w:instrText xml:space="preserve"> PAGEREF _Toc131144696 \h </w:instrText>
            </w:r>
            <w:r w:rsidR="00BC349B">
              <w:rPr>
                <w:webHidden/>
              </w:rPr>
            </w:r>
            <w:r w:rsidR="00BC349B">
              <w:rPr>
                <w:webHidden/>
              </w:rPr>
              <w:fldChar w:fldCharType="separate"/>
            </w:r>
            <w:r w:rsidR="00BC349B">
              <w:rPr>
                <w:webHidden/>
              </w:rPr>
              <w:t>52</w:t>
            </w:r>
            <w:r w:rsidR="00BC349B">
              <w:rPr>
                <w:webHidden/>
              </w:rPr>
              <w:fldChar w:fldCharType="end"/>
            </w:r>
          </w:hyperlink>
        </w:p>
        <w:p w14:paraId="6A43513B" w14:textId="3CAB40E6" w:rsidR="00BC349B" w:rsidRDefault="00000000">
          <w:pPr>
            <w:pStyle w:val="TOC1"/>
            <w:rPr>
              <w:rFonts w:asciiTheme="minorHAnsi" w:eastAsiaTheme="minorEastAsia" w:hAnsiTheme="minorHAnsi"/>
              <w:b w:val="0"/>
              <w:bCs w:val="0"/>
              <w:sz w:val="22"/>
              <w:lang w:val="en-AU" w:eastAsia="en-AU"/>
            </w:rPr>
          </w:pPr>
          <w:hyperlink w:anchor="_Toc131144697" w:history="1">
            <w:r w:rsidR="00BC349B" w:rsidRPr="002B6C02">
              <w:rPr>
                <w:rStyle w:val="Hyperlink"/>
                <w:rFonts w:ascii="Century Gothic" w:hAnsi="Century Gothic"/>
                <w:spacing w:val="-30"/>
              </w:rPr>
              <w:t>Covid Vaccine Injury Compensation Claims</w:t>
            </w:r>
            <w:r w:rsidR="00BC349B">
              <w:rPr>
                <w:webHidden/>
              </w:rPr>
              <w:tab/>
            </w:r>
            <w:r w:rsidR="00BC349B">
              <w:rPr>
                <w:webHidden/>
              </w:rPr>
              <w:fldChar w:fldCharType="begin"/>
            </w:r>
            <w:r w:rsidR="00BC349B">
              <w:rPr>
                <w:webHidden/>
              </w:rPr>
              <w:instrText xml:space="preserve"> PAGEREF _Toc131144697 \h </w:instrText>
            </w:r>
            <w:r w:rsidR="00BC349B">
              <w:rPr>
                <w:webHidden/>
              </w:rPr>
            </w:r>
            <w:r w:rsidR="00BC349B">
              <w:rPr>
                <w:webHidden/>
              </w:rPr>
              <w:fldChar w:fldCharType="separate"/>
            </w:r>
            <w:r w:rsidR="00BC349B">
              <w:rPr>
                <w:webHidden/>
              </w:rPr>
              <w:t>53</w:t>
            </w:r>
            <w:r w:rsidR="00BC349B">
              <w:rPr>
                <w:webHidden/>
              </w:rPr>
              <w:fldChar w:fldCharType="end"/>
            </w:r>
          </w:hyperlink>
        </w:p>
        <w:p w14:paraId="33903367" w14:textId="52E4F768" w:rsidR="00BC349B" w:rsidRDefault="00000000">
          <w:pPr>
            <w:pStyle w:val="TOC3"/>
            <w:rPr>
              <w:rFonts w:asciiTheme="minorHAnsi" w:eastAsiaTheme="minorEastAsia" w:hAnsiTheme="minorHAnsi" w:cstheme="minorBidi"/>
              <w:b w:val="0"/>
              <w:bCs w:val="0"/>
              <w:sz w:val="22"/>
            </w:rPr>
          </w:pPr>
          <w:hyperlink w:anchor="_Toc131144698" w:history="1">
            <w:r w:rsidR="00BC349B" w:rsidRPr="002B6C02">
              <w:rPr>
                <w:rStyle w:val="Hyperlink"/>
              </w:rPr>
              <w:t>COVID-19 Vaccine Claims Scheme</w:t>
            </w:r>
            <w:r w:rsidR="00BC349B">
              <w:rPr>
                <w:webHidden/>
              </w:rPr>
              <w:tab/>
            </w:r>
            <w:r w:rsidR="00BC349B">
              <w:rPr>
                <w:webHidden/>
              </w:rPr>
              <w:fldChar w:fldCharType="begin"/>
            </w:r>
            <w:r w:rsidR="00BC349B">
              <w:rPr>
                <w:webHidden/>
              </w:rPr>
              <w:instrText xml:space="preserve"> PAGEREF _Toc131144698 \h </w:instrText>
            </w:r>
            <w:r w:rsidR="00BC349B">
              <w:rPr>
                <w:webHidden/>
              </w:rPr>
            </w:r>
            <w:r w:rsidR="00BC349B">
              <w:rPr>
                <w:webHidden/>
              </w:rPr>
              <w:fldChar w:fldCharType="separate"/>
            </w:r>
            <w:r w:rsidR="00BC349B">
              <w:rPr>
                <w:webHidden/>
              </w:rPr>
              <w:t>53</w:t>
            </w:r>
            <w:r w:rsidR="00BC349B">
              <w:rPr>
                <w:webHidden/>
              </w:rPr>
              <w:fldChar w:fldCharType="end"/>
            </w:r>
          </w:hyperlink>
        </w:p>
        <w:p w14:paraId="3E10D0A2" w14:textId="14731A30" w:rsidR="00BC349B" w:rsidRDefault="00000000">
          <w:pPr>
            <w:pStyle w:val="TOC1"/>
            <w:rPr>
              <w:rFonts w:asciiTheme="minorHAnsi" w:eastAsiaTheme="minorEastAsia" w:hAnsiTheme="minorHAnsi"/>
              <w:b w:val="0"/>
              <w:bCs w:val="0"/>
              <w:sz w:val="22"/>
              <w:lang w:val="en-AU" w:eastAsia="en-AU"/>
            </w:rPr>
          </w:pPr>
          <w:hyperlink w:anchor="_Toc131144699" w:history="1">
            <w:r w:rsidR="00BC349B" w:rsidRPr="002B6C02">
              <w:rPr>
                <w:rStyle w:val="Hyperlink"/>
                <w:rFonts w:ascii="Georgia" w:hAnsi="Georgia"/>
              </w:rPr>
              <w:t>Current Class Actions</w:t>
            </w:r>
            <w:r w:rsidR="00BC349B">
              <w:rPr>
                <w:webHidden/>
              </w:rPr>
              <w:tab/>
            </w:r>
            <w:r w:rsidR="00BC349B">
              <w:rPr>
                <w:webHidden/>
              </w:rPr>
              <w:fldChar w:fldCharType="begin"/>
            </w:r>
            <w:r w:rsidR="00BC349B">
              <w:rPr>
                <w:webHidden/>
              </w:rPr>
              <w:instrText xml:space="preserve"> PAGEREF _Toc131144699 \h </w:instrText>
            </w:r>
            <w:r w:rsidR="00BC349B">
              <w:rPr>
                <w:webHidden/>
              </w:rPr>
            </w:r>
            <w:r w:rsidR="00BC349B">
              <w:rPr>
                <w:webHidden/>
              </w:rPr>
              <w:fldChar w:fldCharType="separate"/>
            </w:r>
            <w:r w:rsidR="00BC349B">
              <w:rPr>
                <w:webHidden/>
              </w:rPr>
              <w:t>53</w:t>
            </w:r>
            <w:r w:rsidR="00BC349B">
              <w:rPr>
                <w:webHidden/>
              </w:rPr>
              <w:fldChar w:fldCharType="end"/>
            </w:r>
          </w:hyperlink>
        </w:p>
        <w:p w14:paraId="2620A501" w14:textId="5711DB4E" w:rsidR="00BC349B" w:rsidRDefault="00000000">
          <w:pPr>
            <w:pStyle w:val="TOC3"/>
            <w:rPr>
              <w:rFonts w:asciiTheme="minorHAnsi" w:eastAsiaTheme="minorEastAsia" w:hAnsiTheme="minorHAnsi" w:cstheme="minorBidi"/>
              <w:b w:val="0"/>
              <w:bCs w:val="0"/>
              <w:sz w:val="22"/>
            </w:rPr>
          </w:pPr>
          <w:hyperlink w:anchor="_Toc131144700" w:history="1">
            <w:r w:rsidR="00BC349B" w:rsidRPr="002B6C02">
              <w:rPr>
                <w:rStyle w:val="Hyperlink"/>
              </w:rPr>
              <w:t>Who pays compensation if a COVID-19 vaccine has rare side-effects?</w:t>
            </w:r>
            <w:r w:rsidR="00BC349B">
              <w:rPr>
                <w:webHidden/>
              </w:rPr>
              <w:tab/>
            </w:r>
            <w:r w:rsidR="00BC349B">
              <w:rPr>
                <w:webHidden/>
              </w:rPr>
              <w:fldChar w:fldCharType="begin"/>
            </w:r>
            <w:r w:rsidR="00BC349B">
              <w:rPr>
                <w:webHidden/>
              </w:rPr>
              <w:instrText xml:space="preserve"> PAGEREF _Toc131144700 \h </w:instrText>
            </w:r>
            <w:r w:rsidR="00BC349B">
              <w:rPr>
                <w:webHidden/>
              </w:rPr>
            </w:r>
            <w:r w:rsidR="00BC349B">
              <w:rPr>
                <w:webHidden/>
              </w:rPr>
              <w:fldChar w:fldCharType="separate"/>
            </w:r>
            <w:r w:rsidR="00BC349B">
              <w:rPr>
                <w:webHidden/>
              </w:rPr>
              <w:t>53</w:t>
            </w:r>
            <w:r w:rsidR="00BC349B">
              <w:rPr>
                <w:webHidden/>
              </w:rPr>
              <w:fldChar w:fldCharType="end"/>
            </w:r>
          </w:hyperlink>
        </w:p>
        <w:p w14:paraId="4D66DC26" w14:textId="07DA48C6" w:rsidR="00BC349B" w:rsidRDefault="00000000">
          <w:pPr>
            <w:pStyle w:val="TOC3"/>
            <w:rPr>
              <w:rFonts w:asciiTheme="minorHAnsi" w:eastAsiaTheme="minorEastAsia" w:hAnsiTheme="minorHAnsi" w:cstheme="minorBidi"/>
              <w:b w:val="0"/>
              <w:bCs w:val="0"/>
              <w:sz w:val="22"/>
            </w:rPr>
          </w:pPr>
          <w:hyperlink w:anchor="_Toc131144701" w:history="1">
            <w:r w:rsidR="00BC349B" w:rsidRPr="002B6C02">
              <w:rPr>
                <w:rStyle w:val="Hyperlink"/>
              </w:rPr>
              <w:t>University law school tries to head off milestone Covid litigation conference – Covid lawsuits the next growth industry</w:t>
            </w:r>
            <w:r w:rsidR="00BC349B">
              <w:rPr>
                <w:webHidden/>
              </w:rPr>
              <w:tab/>
            </w:r>
            <w:r w:rsidR="00BC349B">
              <w:rPr>
                <w:webHidden/>
              </w:rPr>
              <w:fldChar w:fldCharType="begin"/>
            </w:r>
            <w:r w:rsidR="00BC349B">
              <w:rPr>
                <w:webHidden/>
              </w:rPr>
              <w:instrText xml:space="preserve"> PAGEREF _Toc131144701 \h </w:instrText>
            </w:r>
            <w:r w:rsidR="00BC349B">
              <w:rPr>
                <w:webHidden/>
              </w:rPr>
            </w:r>
            <w:r w:rsidR="00BC349B">
              <w:rPr>
                <w:webHidden/>
              </w:rPr>
              <w:fldChar w:fldCharType="separate"/>
            </w:r>
            <w:r w:rsidR="00BC349B">
              <w:rPr>
                <w:webHidden/>
              </w:rPr>
              <w:t>53</w:t>
            </w:r>
            <w:r w:rsidR="00BC349B">
              <w:rPr>
                <w:webHidden/>
              </w:rPr>
              <w:fldChar w:fldCharType="end"/>
            </w:r>
          </w:hyperlink>
        </w:p>
        <w:p w14:paraId="7E186DE6" w14:textId="4DBDCB99" w:rsidR="00BC349B" w:rsidRDefault="00000000">
          <w:pPr>
            <w:pStyle w:val="TOC3"/>
            <w:rPr>
              <w:rFonts w:asciiTheme="minorHAnsi" w:eastAsiaTheme="minorEastAsia" w:hAnsiTheme="minorHAnsi" w:cstheme="minorBidi"/>
              <w:b w:val="0"/>
              <w:bCs w:val="0"/>
              <w:sz w:val="22"/>
            </w:rPr>
          </w:pPr>
          <w:hyperlink w:anchor="_Toc131144702" w:history="1">
            <w:r w:rsidR="00BC349B" w:rsidRPr="002B6C02">
              <w:rPr>
                <w:rStyle w:val="Hyperlink"/>
              </w:rPr>
              <w:t>Queensland's frontline workers begin series of legal challenges to COVID-19 vaccine mandate</w:t>
            </w:r>
            <w:r w:rsidR="00BC349B">
              <w:rPr>
                <w:webHidden/>
              </w:rPr>
              <w:tab/>
            </w:r>
            <w:r w:rsidR="00BC349B">
              <w:rPr>
                <w:webHidden/>
              </w:rPr>
              <w:fldChar w:fldCharType="begin"/>
            </w:r>
            <w:r w:rsidR="00BC349B">
              <w:rPr>
                <w:webHidden/>
              </w:rPr>
              <w:instrText xml:space="preserve"> PAGEREF _Toc131144702 \h </w:instrText>
            </w:r>
            <w:r w:rsidR="00BC349B">
              <w:rPr>
                <w:webHidden/>
              </w:rPr>
            </w:r>
            <w:r w:rsidR="00BC349B">
              <w:rPr>
                <w:webHidden/>
              </w:rPr>
              <w:fldChar w:fldCharType="separate"/>
            </w:r>
            <w:r w:rsidR="00BC349B">
              <w:rPr>
                <w:webHidden/>
              </w:rPr>
              <w:t>54</w:t>
            </w:r>
            <w:r w:rsidR="00BC349B">
              <w:rPr>
                <w:webHidden/>
              </w:rPr>
              <w:fldChar w:fldCharType="end"/>
            </w:r>
          </w:hyperlink>
        </w:p>
        <w:p w14:paraId="0A3D176E" w14:textId="663BBB60" w:rsidR="00BC349B" w:rsidRDefault="00000000">
          <w:pPr>
            <w:pStyle w:val="TOC1"/>
            <w:rPr>
              <w:rFonts w:asciiTheme="minorHAnsi" w:eastAsiaTheme="minorEastAsia" w:hAnsiTheme="minorHAnsi"/>
              <w:b w:val="0"/>
              <w:bCs w:val="0"/>
              <w:sz w:val="22"/>
              <w:lang w:val="en-AU" w:eastAsia="en-AU"/>
            </w:rPr>
          </w:pPr>
          <w:hyperlink w:anchor="_Toc131144703" w:history="1">
            <w:r w:rsidR="00BC349B" w:rsidRPr="002B6C02">
              <w:rPr>
                <w:rStyle w:val="Hyperlink"/>
                <w:rFonts w:cs="Arial"/>
              </w:rPr>
              <w:t>COVID-19 vaccinations and federal discrimination law</w:t>
            </w:r>
            <w:r w:rsidR="00BC349B">
              <w:rPr>
                <w:webHidden/>
              </w:rPr>
              <w:tab/>
            </w:r>
            <w:r w:rsidR="00BC349B">
              <w:rPr>
                <w:webHidden/>
              </w:rPr>
              <w:fldChar w:fldCharType="begin"/>
            </w:r>
            <w:r w:rsidR="00BC349B">
              <w:rPr>
                <w:webHidden/>
              </w:rPr>
              <w:instrText xml:space="preserve"> PAGEREF _Toc131144703 \h </w:instrText>
            </w:r>
            <w:r w:rsidR="00BC349B">
              <w:rPr>
                <w:webHidden/>
              </w:rPr>
            </w:r>
            <w:r w:rsidR="00BC349B">
              <w:rPr>
                <w:webHidden/>
              </w:rPr>
              <w:fldChar w:fldCharType="separate"/>
            </w:r>
            <w:r w:rsidR="00BC349B">
              <w:rPr>
                <w:webHidden/>
              </w:rPr>
              <w:t>54</w:t>
            </w:r>
            <w:r w:rsidR="00BC349B">
              <w:rPr>
                <w:webHidden/>
              </w:rPr>
              <w:fldChar w:fldCharType="end"/>
            </w:r>
          </w:hyperlink>
        </w:p>
        <w:p w14:paraId="64B888A3" w14:textId="66538A53" w:rsidR="00BC349B" w:rsidRDefault="00000000">
          <w:pPr>
            <w:pStyle w:val="TOC3"/>
            <w:rPr>
              <w:rFonts w:asciiTheme="minorHAnsi" w:eastAsiaTheme="minorEastAsia" w:hAnsiTheme="minorHAnsi" w:cstheme="minorBidi"/>
              <w:b w:val="0"/>
              <w:bCs w:val="0"/>
              <w:sz w:val="22"/>
            </w:rPr>
          </w:pPr>
          <w:hyperlink w:anchor="_Toc131144704" w:history="1">
            <w:r w:rsidR="00BC349B" w:rsidRPr="002B6C02">
              <w:rPr>
                <w:rStyle w:val="Hyperlink"/>
              </w:rPr>
              <w:t>Summary</w:t>
            </w:r>
            <w:r w:rsidR="00BC349B">
              <w:rPr>
                <w:webHidden/>
              </w:rPr>
              <w:tab/>
            </w:r>
            <w:r w:rsidR="00BC349B">
              <w:rPr>
                <w:webHidden/>
              </w:rPr>
              <w:fldChar w:fldCharType="begin"/>
            </w:r>
            <w:r w:rsidR="00BC349B">
              <w:rPr>
                <w:webHidden/>
              </w:rPr>
              <w:instrText xml:space="preserve"> PAGEREF _Toc131144704 \h </w:instrText>
            </w:r>
            <w:r w:rsidR="00BC349B">
              <w:rPr>
                <w:webHidden/>
              </w:rPr>
            </w:r>
            <w:r w:rsidR="00BC349B">
              <w:rPr>
                <w:webHidden/>
              </w:rPr>
              <w:fldChar w:fldCharType="separate"/>
            </w:r>
            <w:r w:rsidR="00BC349B">
              <w:rPr>
                <w:webHidden/>
              </w:rPr>
              <w:t>54</w:t>
            </w:r>
            <w:r w:rsidR="00BC349B">
              <w:rPr>
                <w:webHidden/>
              </w:rPr>
              <w:fldChar w:fldCharType="end"/>
            </w:r>
          </w:hyperlink>
        </w:p>
        <w:p w14:paraId="165EBF77" w14:textId="33212DDD" w:rsidR="00BC349B" w:rsidRDefault="00000000">
          <w:pPr>
            <w:pStyle w:val="TOC1"/>
            <w:rPr>
              <w:rFonts w:asciiTheme="minorHAnsi" w:eastAsiaTheme="minorEastAsia" w:hAnsiTheme="minorHAnsi"/>
              <w:b w:val="0"/>
              <w:bCs w:val="0"/>
              <w:sz w:val="22"/>
              <w:lang w:val="en-AU" w:eastAsia="en-AU"/>
            </w:rPr>
          </w:pPr>
          <w:hyperlink w:anchor="_Toc131144705" w:history="1">
            <w:r w:rsidR="00BC349B" w:rsidRPr="002B6C02">
              <w:rPr>
                <w:rStyle w:val="Hyperlink"/>
              </w:rPr>
              <w:t>Legal Aid Queensland</w:t>
            </w:r>
            <w:r w:rsidR="00BC349B">
              <w:rPr>
                <w:webHidden/>
              </w:rPr>
              <w:tab/>
            </w:r>
            <w:r w:rsidR="00BC349B">
              <w:rPr>
                <w:webHidden/>
              </w:rPr>
              <w:fldChar w:fldCharType="begin"/>
            </w:r>
            <w:r w:rsidR="00BC349B">
              <w:rPr>
                <w:webHidden/>
              </w:rPr>
              <w:instrText xml:space="preserve"> PAGEREF _Toc131144705 \h </w:instrText>
            </w:r>
            <w:r w:rsidR="00BC349B">
              <w:rPr>
                <w:webHidden/>
              </w:rPr>
            </w:r>
            <w:r w:rsidR="00BC349B">
              <w:rPr>
                <w:webHidden/>
              </w:rPr>
              <w:fldChar w:fldCharType="separate"/>
            </w:r>
            <w:r w:rsidR="00BC349B">
              <w:rPr>
                <w:webHidden/>
              </w:rPr>
              <w:t>54</w:t>
            </w:r>
            <w:r w:rsidR="00BC349B">
              <w:rPr>
                <w:webHidden/>
              </w:rPr>
              <w:fldChar w:fldCharType="end"/>
            </w:r>
          </w:hyperlink>
        </w:p>
        <w:p w14:paraId="4BE4016F" w14:textId="014D87A8" w:rsidR="00BC349B" w:rsidRDefault="00000000">
          <w:pPr>
            <w:pStyle w:val="TOC1"/>
            <w:rPr>
              <w:rFonts w:asciiTheme="minorHAnsi" w:eastAsiaTheme="minorEastAsia" w:hAnsiTheme="minorHAnsi"/>
              <w:b w:val="0"/>
              <w:bCs w:val="0"/>
              <w:sz w:val="22"/>
              <w:lang w:val="en-AU" w:eastAsia="en-AU"/>
            </w:rPr>
          </w:pPr>
          <w:hyperlink w:anchor="_Toc131144706" w:history="1">
            <w:r w:rsidR="00BC349B" w:rsidRPr="002B6C02">
              <w:rPr>
                <w:rStyle w:val="Hyperlink"/>
              </w:rPr>
              <w:t>Claxton legal</w:t>
            </w:r>
            <w:r w:rsidR="00BC349B">
              <w:rPr>
                <w:webHidden/>
              </w:rPr>
              <w:tab/>
            </w:r>
            <w:r w:rsidR="00BC349B">
              <w:rPr>
                <w:webHidden/>
              </w:rPr>
              <w:fldChar w:fldCharType="begin"/>
            </w:r>
            <w:r w:rsidR="00BC349B">
              <w:rPr>
                <w:webHidden/>
              </w:rPr>
              <w:instrText xml:space="preserve"> PAGEREF _Toc131144706 \h </w:instrText>
            </w:r>
            <w:r w:rsidR="00BC349B">
              <w:rPr>
                <w:webHidden/>
              </w:rPr>
            </w:r>
            <w:r w:rsidR="00BC349B">
              <w:rPr>
                <w:webHidden/>
              </w:rPr>
              <w:fldChar w:fldCharType="separate"/>
            </w:r>
            <w:r w:rsidR="00BC349B">
              <w:rPr>
                <w:webHidden/>
              </w:rPr>
              <w:t>54</w:t>
            </w:r>
            <w:r w:rsidR="00BC349B">
              <w:rPr>
                <w:webHidden/>
              </w:rPr>
              <w:fldChar w:fldCharType="end"/>
            </w:r>
          </w:hyperlink>
        </w:p>
        <w:p w14:paraId="0517EAED" w14:textId="14D1B334" w:rsidR="00BC349B" w:rsidRDefault="00000000">
          <w:pPr>
            <w:pStyle w:val="TOC3"/>
            <w:rPr>
              <w:rFonts w:asciiTheme="minorHAnsi" w:eastAsiaTheme="minorEastAsia" w:hAnsiTheme="minorHAnsi" w:cstheme="minorBidi"/>
              <w:b w:val="0"/>
              <w:bCs w:val="0"/>
              <w:sz w:val="22"/>
            </w:rPr>
          </w:pPr>
          <w:hyperlink w:anchor="_Toc131144707" w:history="1">
            <w:r w:rsidR="00BC349B" w:rsidRPr="002B6C02">
              <w:rPr>
                <w:rStyle w:val="Hyperlink"/>
                <w:rFonts w:ascii="Source Sans Pro" w:hAnsi="Source Sans Pro"/>
              </w:rPr>
              <w:t>Our legal information line</w:t>
            </w:r>
            <w:r w:rsidR="00BC349B">
              <w:rPr>
                <w:webHidden/>
              </w:rPr>
              <w:tab/>
            </w:r>
            <w:r w:rsidR="00BC349B">
              <w:rPr>
                <w:webHidden/>
              </w:rPr>
              <w:fldChar w:fldCharType="begin"/>
            </w:r>
            <w:r w:rsidR="00BC349B">
              <w:rPr>
                <w:webHidden/>
              </w:rPr>
              <w:instrText xml:space="preserve"> PAGEREF _Toc131144707 \h </w:instrText>
            </w:r>
            <w:r w:rsidR="00BC349B">
              <w:rPr>
                <w:webHidden/>
              </w:rPr>
            </w:r>
            <w:r w:rsidR="00BC349B">
              <w:rPr>
                <w:webHidden/>
              </w:rPr>
              <w:fldChar w:fldCharType="separate"/>
            </w:r>
            <w:r w:rsidR="00BC349B">
              <w:rPr>
                <w:webHidden/>
              </w:rPr>
              <w:t>55</w:t>
            </w:r>
            <w:r w:rsidR="00BC349B">
              <w:rPr>
                <w:webHidden/>
              </w:rPr>
              <w:fldChar w:fldCharType="end"/>
            </w:r>
          </w:hyperlink>
        </w:p>
        <w:p w14:paraId="019C3349" w14:textId="31BB7804" w:rsidR="00BC349B" w:rsidRDefault="00000000">
          <w:pPr>
            <w:pStyle w:val="TOC3"/>
            <w:rPr>
              <w:rFonts w:asciiTheme="minorHAnsi" w:eastAsiaTheme="minorEastAsia" w:hAnsiTheme="minorHAnsi" w:cstheme="minorBidi"/>
              <w:b w:val="0"/>
              <w:bCs w:val="0"/>
              <w:sz w:val="22"/>
            </w:rPr>
          </w:pPr>
          <w:hyperlink w:anchor="_Toc131144708" w:history="1">
            <w:r w:rsidR="00BC349B" w:rsidRPr="002B6C02">
              <w:rPr>
                <w:rStyle w:val="Hyperlink"/>
                <w:rFonts w:ascii="Source Sans Pro" w:hAnsi="Source Sans Pro"/>
              </w:rPr>
              <w:t>Personal rights and safety</w:t>
            </w:r>
            <w:r w:rsidR="00BC349B">
              <w:rPr>
                <w:webHidden/>
              </w:rPr>
              <w:tab/>
            </w:r>
            <w:r w:rsidR="00BC349B">
              <w:rPr>
                <w:webHidden/>
              </w:rPr>
              <w:fldChar w:fldCharType="begin"/>
            </w:r>
            <w:r w:rsidR="00BC349B">
              <w:rPr>
                <w:webHidden/>
              </w:rPr>
              <w:instrText xml:space="preserve"> PAGEREF _Toc131144708 \h </w:instrText>
            </w:r>
            <w:r w:rsidR="00BC349B">
              <w:rPr>
                <w:webHidden/>
              </w:rPr>
            </w:r>
            <w:r w:rsidR="00BC349B">
              <w:rPr>
                <w:webHidden/>
              </w:rPr>
              <w:fldChar w:fldCharType="separate"/>
            </w:r>
            <w:r w:rsidR="00BC349B">
              <w:rPr>
                <w:webHidden/>
              </w:rPr>
              <w:t>55</w:t>
            </w:r>
            <w:r w:rsidR="00BC349B">
              <w:rPr>
                <w:webHidden/>
              </w:rPr>
              <w:fldChar w:fldCharType="end"/>
            </w:r>
          </w:hyperlink>
        </w:p>
        <w:p w14:paraId="606818F0" w14:textId="6A79E68B" w:rsidR="00BC349B" w:rsidRDefault="00000000">
          <w:pPr>
            <w:pStyle w:val="TOC1"/>
            <w:rPr>
              <w:rFonts w:asciiTheme="minorHAnsi" w:eastAsiaTheme="minorEastAsia" w:hAnsiTheme="minorHAnsi"/>
              <w:b w:val="0"/>
              <w:bCs w:val="0"/>
              <w:sz w:val="22"/>
              <w:lang w:val="en-AU" w:eastAsia="en-AU"/>
            </w:rPr>
          </w:pPr>
          <w:hyperlink w:anchor="_Toc131144709" w:history="1">
            <w:r w:rsidR="00BC349B" w:rsidRPr="002B6C02">
              <w:rPr>
                <w:rStyle w:val="Hyperlink"/>
                <w:rFonts w:ascii="Source Sans Pro" w:hAnsi="Source Sans Pro"/>
              </w:rPr>
              <w:t>Human Rights Act 2019</w:t>
            </w:r>
            <w:r w:rsidR="00BC349B">
              <w:rPr>
                <w:webHidden/>
              </w:rPr>
              <w:tab/>
            </w:r>
            <w:r w:rsidR="00BC349B">
              <w:rPr>
                <w:webHidden/>
              </w:rPr>
              <w:fldChar w:fldCharType="begin"/>
            </w:r>
            <w:r w:rsidR="00BC349B">
              <w:rPr>
                <w:webHidden/>
              </w:rPr>
              <w:instrText xml:space="preserve"> PAGEREF _Toc131144709 \h </w:instrText>
            </w:r>
            <w:r w:rsidR="00BC349B">
              <w:rPr>
                <w:webHidden/>
              </w:rPr>
            </w:r>
            <w:r w:rsidR="00BC349B">
              <w:rPr>
                <w:webHidden/>
              </w:rPr>
              <w:fldChar w:fldCharType="separate"/>
            </w:r>
            <w:r w:rsidR="00BC349B">
              <w:rPr>
                <w:webHidden/>
              </w:rPr>
              <w:t>55</w:t>
            </w:r>
            <w:r w:rsidR="00BC349B">
              <w:rPr>
                <w:webHidden/>
              </w:rPr>
              <w:fldChar w:fldCharType="end"/>
            </w:r>
          </w:hyperlink>
        </w:p>
        <w:p w14:paraId="1491897B" w14:textId="2DA9C77F" w:rsidR="00BC349B" w:rsidRDefault="00000000">
          <w:pPr>
            <w:pStyle w:val="TOC2"/>
            <w:rPr>
              <w:rFonts w:cstheme="minorBidi"/>
              <w:sz w:val="22"/>
              <w:szCs w:val="22"/>
              <w:lang w:val="en-AU" w:eastAsia="en-AU"/>
            </w:rPr>
          </w:pPr>
          <w:hyperlink w:anchor="_Toc131144710" w:history="1">
            <w:r w:rsidR="00BC349B" w:rsidRPr="002B6C02">
              <w:rPr>
                <w:rStyle w:val="Hyperlink"/>
                <w:rFonts w:ascii="Source Sans Pro" w:hAnsi="Source Sans Pro"/>
              </w:rPr>
              <w:t>COVID-19</w:t>
            </w:r>
            <w:r w:rsidR="00BC349B">
              <w:rPr>
                <w:webHidden/>
              </w:rPr>
              <w:tab/>
            </w:r>
            <w:r w:rsidR="00BC349B">
              <w:rPr>
                <w:webHidden/>
              </w:rPr>
              <w:fldChar w:fldCharType="begin"/>
            </w:r>
            <w:r w:rsidR="00BC349B">
              <w:rPr>
                <w:webHidden/>
              </w:rPr>
              <w:instrText xml:space="preserve"> PAGEREF _Toc131144710 \h </w:instrText>
            </w:r>
            <w:r w:rsidR="00BC349B">
              <w:rPr>
                <w:webHidden/>
              </w:rPr>
            </w:r>
            <w:r w:rsidR="00BC349B">
              <w:rPr>
                <w:webHidden/>
              </w:rPr>
              <w:fldChar w:fldCharType="separate"/>
            </w:r>
            <w:r w:rsidR="00BC349B">
              <w:rPr>
                <w:webHidden/>
              </w:rPr>
              <w:t>55</w:t>
            </w:r>
            <w:r w:rsidR="00BC349B">
              <w:rPr>
                <w:webHidden/>
              </w:rPr>
              <w:fldChar w:fldCharType="end"/>
            </w:r>
          </w:hyperlink>
        </w:p>
        <w:p w14:paraId="2E53EDE7" w14:textId="5854B34F" w:rsidR="00BC349B" w:rsidRDefault="00000000">
          <w:pPr>
            <w:pStyle w:val="TOC2"/>
            <w:rPr>
              <w:rFonts w:cstheme="minorBidi"/>
              <w:sz w:val="22"/>
              <w:szCs w:val="22"/>
              <w:lang w:val="en-AU" w:eastAsia="en-AU"/>
            </w:rPr>
          </w:pPr>
          <w:hyperlink w:anchor="_Toc131144711" w:history="1">
            <w:r w:rsidR="00BC349B" w:rsidRPr="002B6C02">
              <w:rPr>
                <w:rStyle w:val="Hyperlink"/>
                <w:rFonts w:ascii="Source Sans Pro" w:hAnsi="Source Sans Pro"/>
              </w:rPr>
              <w:t>Human Rights Act overview</w:t>
            </w:r>
            <w:r w:rsidR="00BC349B">
              <w:rPr>
                <w:webHidden/>
              </w:rPr>
              <w:tab/>
            </w:r>
            <w:r w:rsidR="00BC349B">
              <w:rPr>
                <w:webHidden/>
              </w:rPr>
              <w:fldChar w:fldCharType="begin"/>
            </w:r>
            <w:r w:rsidR="00BC349B">
              <w:rPr>
                <w:webHidden/>
              </w:rPr>
              <w:instrText xml:space="preserve"> PAGEREF _Toc131144711 \h </w:instrText>
            </w:r>
            <w:r w:rsidR="00BC349B">
              <w:rPr>
                <w:webHidden/>
              </w:rPr>
            </w:r>
            <w:r w:rsidR="00BC349B">
              <w:rPr>
                <w:webHidden/>
              </w:rPr>
              <w:fldChar w:fldCharType="separate"/>
            </w:r>
            <w:r w:rsidR="00BC349B">
              <w:rPr>
                <w:webHidden/>
              </w:rPr>
              <w:t>56</w:t>
            </w:r>
            <w:r w:rsidR="00BC349B">
              <w:rPr>
                <w:webHidden/>
              </w:rPr>
              <w:fldChar w:fldCharType="end"/>
            </w:r>
          </w:hyperlink>
        </w:p>
        <w:p w14:paraId="64DA95ED" w14:textId="0C290316" w:rsidR="00BC349B" w:rsidRDefault="00000000">
          <w:pPr>
            <w:pStyle w:val="TOC2"/>
            <w:rPr>
              <w:rFonts w:cstheme="minorBidi"/>
              <w:sz w:val="22"/>
              <w:szCs w:val="22"/>
              <w:lang w:val="en-AU" w:eastAsia="en-AU"/>
            </w:rPr>
          </w:pPr>
          <w:hyperlink w:anchor="_Toc131144712" w:history="1">
            <w:r w:rsidR="00BC349B" w:rsidRPr="002B6C02">
              <w:rPr>
                <w:rStyle w:val="Hyperlink"/>
                <w:rFonts w:ascii="Source Sans Pro" w:hAnsi="Source Sans Pro"/>
              </w:rPr>
              <w:t>Which human rights does </w:t>
            </w:r>
            <w:r w:rsidR="00BC349B" w:rsidRPr="002B6C02">
              <w:rPr>
                <w:rStyle w:val="Hyperlink"/>
                <w:rFonts w:ascii="Source Sans Pro" w:hAnsi="Source Sans Pro"/>
                <w:i/>
                <w:iCs/>
              </w:rPr>
              <w:t>The Human Rights Act</w:t>
            </w:r>
            <w:r w:rsidR="00BC349B" w:rsidRPr="002B6C02">
              <w:rPr>
                <w:rStyle w:val="Hyperlink"/>
                <w:rFonts w:ascii="Source Sans Pro" w:hAnsi="Source Sans Pro"/>
              </w:rPr>
              <w:t> protect</w:t>
            </w:r>
            <w:r w:rsidR="00BC349B">
              <w:rPr>
                <w:webHidden/>
              </w:rPr>
              <w:tab/>
            </w:r>
            <w:r w:rsidR="00BC349B">
              <w:rPr>
                <w:webHidden/>
              </w:rPr>
              <w:fldChar w:fldCharType="begin"/>
            </w:r>
            <w:r w:rsidR="00BC349B">
              <w:rPr>
                <w:webHidden/>
              </w:rPr>
              <w:instrText xml:space="preserve"> PAGEREF _Toc131144712 \h </w:instrText>
            </w:r>
            <w:r w:rsidR="00BC349B">
              <w:rPr>
                <w:webHidden/>
              </w:rPr>
            </w:r>
            <w:r w:rsidR="00BC349B">
              <w:rPr>
                <w:webHidden/>
              </w:rPr>
              <w:fldChar w:fldCharType="separate"/>
            </w:r>
            <w:r w:rsidR="00BC349B">
              <w:rPr>
                <w:webHidden/>
              </w:rPr>
              <w:t>56</w:t>
            </w:r>
            <w:r w:rsidR="00BC349B">
              <w:rPr>
                <w:webHidden/>
              </w:rPr>
              <w:fldChar w:fldCharType="end"/>
            </w:r>
          </w:hyperlink>
        </w:p>
        <w:p w14:paraId="30B68B3A" w14:textId="5F699451" w:rsidR="00BC349B" w:rsidRDefault="00000000">
          <w:pPr>
            <w:pStyle w:val="TOC2"/>
            <w:rPr>
              <w:rFonts w:cstheme="minorBidi"/>
              <w:sz w:val="22"/>
              <w:szCs w:val="22"/>
              <w:lang w:val="en-AU" w:eastAsia="en-AU"/>
            </w:rPr>
          </w:pPr>
          <w:hyperlink w:anchor="_Toc131144713" w:history="1">
            <w:r w:rsidR="00BC349B" w:rsidRPr="002B6C02">
              <w:rPr>
                <w:rStyle w:val="Hyperlink"/>
                <w:rFonts w:ascii="Source Sans Pro" w:hAnsi="Source Sans Pro"/>
              </w:rPr>
              <w:t>Making a complaint</w:t>
            </w:r>
            <w:r w:rsidR="00BC349B">
              <w:rPr>
                <w:webHidden/>
              </w:rPr>
              <w:tab/>
            </w:r>
            <w:r w:rsidR="00BC349B">
              <w:rPr>
                <w:webHidden/>
              </w:rPr>
              <w:fldChar w:fldCharType="begin"/>
            </w:r>
            <w:r w:rsidR="00BC349B">
              <w:rPr>
                <w:webHidden/>
              </w:rPr>
              <w:instrText xml:space="preserve"> PAGEREF _Toc131144713 \h </w:instrText>
            </w:r>
            <w:r w:rsidR="00BC349B">
              <w:rPr>
                <w:webHidden/>
              </w:rPr>
            </w:r>
            <w:r w:rsidR="00BC349B">
              <w:rPr>
                <w:webHidden/>
              </w:rPr>
              <w:fldChar w:fldCharType="separate"/>
            </w:r>
            <w:r w:rsidR="00BC349B">
              <w:rPr>
                <w:webHidden/>
              </w:rPr>
              <w:t>57</w:t>
            </w:r>
            <w:r w:rsidR="00BC349B">
              <w:rPr>
                <w:webHidden/>
              </w:rPr>
              <w:fldChar w:fldCharType="end"/>
            </w:r>
          </w:hyperlink>
        </w:p>
        <w:p w14:paraId="6607F9A6" w14:textId="73CD7DBF" w:rsidR="00BC349B" w:rsidRDefault="00000000">
          <w:pPr>
            <w:pStyle w:val="TOC2"/>
            <w:rPr>
              <w:rFonts w:cstheme="minorBidi"/>
              <w:sz w:val="22"/>
              <w:szCs w:val="22"/>
              <w:lang w:val="en-AU" w:eastAsia="en-AU"/>
            </w:rPr>
          </w:pPr>
          <w:hyperlink w:anchor="_Toc131144714" w:history="1">
            <w:r w:rsidR="00BC349B" w:rsidRPr="002B6C02">
              <w:rPr>
                <w:rStyle w:val="Hyperlink"/>
                <w:rFonts w:ascii="Source Sans Pro" w:hAnsi="Source Sans Pro"/>
              </w:rPr>
              <w:t>Get legal help</w:t>
            </w:r>
            <w:r w:rsidR="00BC349B">
              <w:rPr>
                <w:webHidden/>
              </w:rPr>
              <w:tab/>
            </w:r>
            <w:r w:rsidR="00BC349B">
              <w:rPr>
                <w:webHidden/>
              </w:rPr>
              <w:fldChar w:fldCharType="begin"/>
            </w:r>
            <w:r w:rsidR="00BC349B">
              <w:rPr>
                <w:webHidden/>
              </w:rPr>
              <w:instrText xml:space="preserve"> PAGEREF _Toc131144714 \h </w:instrText>
            </w:r>
            <w:r w:rsidR="00BC349B">
              <w:rPr>
                <w:webHidden/>
              </w:rPr>
            </w:r>
            <w:r w:rsidR="00BC349B">
              <w:rPr>
                <w:webHidden/>
              </w:rPr>
              <w:fldChar w:fldCharType="separate"/>
            </w:r>
            <w:r w:rsidR="00BC349B">
              <w:rPr>
                <w:webHidden/>
              </w:rPr>
              <w:t>57</w:t>
            </w:r>
            <w:r w:rsidR="00BC349B">
              <w:rPr>
                <w:webHidden/>
              </w:rPr>
              <w:fldChar w:fldCharType="end"/>
            </w:r>
          </w:hyperlink>
        </w:p>
        <w:p w14:paraId="5B013D61" w14:textId="0BD85678" w:rsidR="00BC349B" w:rsidRDefault="00000000">
          <w:pPr>
            <w:pStyle w:val="TOC2"/>
            <w:rPr>
              <w:rFonts w:cstheme="minorBidi"/>
              <w:sz w:val="22"/>
              <w:szCs w:val="22"/>
              <w:lang w:val="en-AU" w:eastAsia="en-AU"/>
            </w:rPr>
          </w:pPr>
          <w:hyperlink w:anchor="_Toc131144715" w:history="1">
            <w:r w:rsidR="00BC349B" w:rsidRPr="002B6C02">
              <w:rPr>
                <w:rStyle w:val="Hyperlink"/>
                <w:rFonts w:ascii="Source Sans Pro" w:hAnsi="Source Sans Pro"/>
              </w:rPr>
              <w:t>Publications and resources</w:t>
            </w:r>
            <w:r w:rsidR="00BC349B">
              <w:rPr>
                <w:webHidden/>
              </w:rPr>
              <w:tab/>
            </w:r>
            <w:r w:rsidR="00BC349B">
              <w:rPr>
                <w:webHidden/>
              </w:rPr>
              <w:fldChar w:fldCharType="begin"/>
            </w:r>
            <w:r w:rsidR="00BC349B">
              <w:rPr>
                <w:webHidden/>
              </w:rPr>
              <w:instrText xml:space="preserve"> PAGEREF _Toc131144715 \h </w:instrText>
            </w:r>
            <w:r w:rsidR="00BC349B">
              <w:rPr>
                <w:webHidden/>
              </w:rPr>
            </w:r>
            <w:r w:rsidR="00BC349B">
              <w:rPr>
                <w:webHidden/>
              </w:rPr>
              <w:fldChar w:fldCharType="separate"/>
            </w:r>
            <w:r w:rsidR="00BC349B">
              <w:rPr>
                <w:webHidden/>
              </w:rPr>
              <w:t>57</w:t>
            </w:r>
            <w:r w:rsidR="00BC349B">
              <w:rPr>
                <w:webHidden/>
              </w:rPr>
              <w:fldChar w:fldCharType="end"/>
            </w:r>
          </w:hyperlink>
        </w:p>
        <w:p w14:paraId="599C978A" w14:textId="2FFECEEE" w:rsidR="00BC349B" w:rsidRDefault="00000000">
          <w:pPr>
            <w:pStyle w:val="TOC1"/>
            <w:rPr>
              <w:rFonts w:asciiTheme="minorHAnsi" w:eastAsiaTheme="minorEastAsia" w:hAnsiTheme="minorHAnsi"/>
              <w:b w:val="0"/>
              <w:bCs w:val="0"/>
              <w:sz w:val="22"/>
              <w:lang w:val="en-AU" w:eastAsia="en-AU"/>
            </w:rPr>
          </w:pPr>
          <w:hyperlink w:anchor="_Toc131144716" w:history="1">
            <w:r w:rsidR="00BC349B" w:rsidRPr="002B6C02">
              <w:rPr>
                <w:rStyle w:val="Hyperlink"/>
                <w:rFonts w:cs="Arial"/>
              </w:rPr>
              <w:t>Complaints</w:t>
            </w:r>
            <w:r w:rsidR="00BC349B">
              <w:rPr>
                <w:webHidden/>
              </w:rPr>
              <w:tab/>
            </w:r>
            <w:r w:rsidR="00BC349B">
              <w:rPr>
                <w:webHidden/>
              </w:rPr>
              <w:fldChar w:fldCharType="begin"/>
            </w:r>
            <w:r w:rsidR="00BC349B">
              <w:rPr>
                <w:webHidden/>
              </w:rPr>
              <w:instrText xml:space="preserve"> PAGEREF _Toc131144716 \h </w:instrText>
            </w:r>
            <w:r w:rsidR="00BC349B">
              <w:rPr>
                <w:webHidden/>
              </w:rPr>
            </w:r>
            <w:r w:rsidR="00BC349B">
              <w:rPr>
                <w:webHidden/>
              </w:rPr>
              <w:fldChar w:fldCharType="separate"/>
            </w:r>
            <w:r w:rsidR="00BC349B">
              <w:rPr>
                <w:webHidden/>
              </w:rPr>
              <w:t>58</w:t>
            </w:r>
            <w:r w:rsidR="00BC349B">
              <w:rPr>
                <w:webHidden/>
              </w:rPr>
              <w:fldChar w:fldCharType="end"/>
            </w:r>
          </w:hyperlink>
        </w:p>
        <w:p w14:paraId="676E7926" w14:textId="2CC4012D" w:rsidR="00BC349B" w:rsidRDefault="00000000">
          <w:pPr>
            <w:pStyle w:val="TOC1"/>
            <w:rPr>
              <w:rFonts w:asciiTheme="minorHAnsi" w:eastAsiaTheme="minorEastAsia" w:hAnsiTheme="minorHAnsi"/>
              <w:b w:val="0"/>
              <w:bCs w:val="0"/>
              <w:sz w:val="22"/>
              <w:lang w:val="en-AU" w:eastAsia="en-AU"/>
            </w:rPr>
          </w:pPr>
          <w:hyperlink w:anchor="_Toc131144717" w:history="1">
            <w:r w:rsidR="00BC349B" w:rsidRPr="002B6C02">
              <w:rPr>
                <w:rStyle w:val="Hyperlink"/>
                <w:rFonts w:cs="Arial"/>
              </w:rPr>
              <w:t>Making a complaint</w:t>
            </w:r>
            <w:r w:rsidR="00BC349B">
              <w:rPr>
                <w:webHidden/>
              </w:rPr>
              <w:tab/>
            </w:r>
            <w:r w:rsidR="00BC349B">
              <w:rPr>
                <w:webHidden/>
              </w:rPr>
              <w:fldChar w:fldCharType="begin"/>
            </w:r>
            <w:r w:rsidR="00BC349B">
              <w:rPr>
                <w:webHidden/>
              </w:rPr>
              <w:instrText xml:space="preserve"> PAGEREF _Toc131144717 \h </w:instrText>
            </w:r>
            <w:r w:rsidR="00BC349B">
              <w:rPr>
                <w:webHidden/>
              </w:rPr>
            </w:r>
            <w:r w:rsidR="00BC349B">
              <w:rPr>
                <w:webHidden/>
              </w:rPr>
              <w:fldChar w:fldCharType="separate"/>
            </w:r>
            <w:r w:rsidR="00BC349B">
              <w:rPr>
                <w:webHidden/>
              </w:rPr>
              <w:t>58</w:t>
            </w:r>
            <w:r w:rsidR="00BC349B">
              <w:rPr>
                <w:webHidden/>
              </w:rPr>
              <w:fldChar w:fldCharType="end"/>
            </w:r>
          </w:hyperlink>
        </w:p>
        <w:p w14:paraId="142A95DA" w14:textId="6ED7D87C" w:rsidR="00BC349B" w:rsidRDefault="00000000">
          <w:pPr>
            <w:pStyle w:val="TOC1"/>
            <w:rPr>
              <w:rFonts w:asciiTheme="minorHAnsi" w:eastAsiaTheme="minorEastAsia" w:hAnsiTheme="minorHAnsi"/>
              <w:b w:val="0"/>
              <w:bCs w:val="0"/>
              <w:sz w:val="22"/>
              <w:lang w:val="en-AU" w:eastAsia="en-AU"/>
            </w:rPr>
          </w:pPr>
          <w:hyperlink w:anchor="_Toc131144718" w:history="1">
            <w:r w:rsidR="00BC349B" w:rsidRPr="002B6C02">
              <w:rPr>
                <w:rStyle w:val="Hyperlink"/>
              </w:rPr>
              <w:t>Who</w:t>
            </w:r>
            <w:r w:rsidR="00BC349B" w:rsidRPr="002B6C02">
              <w:rPr>
                <w:rStyle w:val="Hyperlink"/>
                <w:spacing w:val="-1"/>
              </w:rPr>
              <w:t xml:space="preserve"> </w:t>
            </w:r>
            <w:r w:rsidR="00BC349B" w:rsidRPr="002B6C02">
              <w:rPr>
                <w:rStyle w:val="Hyperlink"/>
              </w:rPr>
              <w:t xml:space="preserve">can </w:t>
            </w:r>
            <w:r w:rsidR="00BC349B" w:rsidRPr="002B6C02">
              <w:rPr>
                <w:rStyle w:val="Hyperlink"/>
                <w:spacing w:val="-2"/>
              </w:rPr>
              <w:t>complain?</w:t>
            </w:r>
            <w:r w:rsidR="00BC349B">
              <w:rPr>
                <w:webHidden/>
              </w:rPr>
              <w:tab/>
            </w:r>
            <w:r w:rsidR="00BC349B">
              <w:rPr>
                <w:webHidden/>
              </w:rPr>
              <w:fldChar w:fldCharType="begin"/>
            </w:r>
            <w:r w:rsidR="00BC349B">
              <w:rPr>
                <w:webHidden/>
              </w:rPr>
              <w:instrText xml:space="preserve"> PAGEREF _Toc131144718 \h </w:instrText>
            </w:r>
            <w:r w:rsidR="00BC349B">
              <w:rPr>
                <w:webHidden/>
              </w:rPr>
            </w:r>
            <w:r w:rsidR="00BC349B">
              <w:rPr>
                <w:webHidden/>
              </w:rPr>
              <w:fldChar w:fldCharType="separate"/>
            </w:r>
            <w:r w:rsidR="00BC349B">
              <w:rPr>
                <w:webHidden/>
              </w:rPr>
              <w:t>59</w:t>
            </w:r>
            <w:r w:rsidR="00BC349B">
              <w:rPr>
                <w:webHidden/>
              </w:rPr>
              <w:fldChar w:fldCharType="end"/>
            </w:r>
          </w:hyperlink>
        </w:p>
        <w:p w14:paraId="40C38704" w14:textId="2CB8835D" w:rsidR="00BC349B" w:rsidRDefault="00000000">
          <w:pPr>
            <w:pStyle w:val="TOC1"/>
            <w:rPr>
              <w:rFonts w:asciiTheme="minorHAnsi" w:eastAsiaTheme="minorEastAsia" w:hAnsiTheme="minorHAnsi"/>
              <w:b w:val="0"/>
              <w:bCs w:val="0"/>
              <w:sz w:val="22"/>
              <w:lang w:val="en-AU" w:eastAsia="en-AU"/>
            </w:rPr>
          </w:pPr>
          <w:hyperlink w:anchor="_Toc131144719" w:history="1">
            <w:r w:rsidR="00BC349B" w:rsidRPr="002B6C02">
              <w:rPr>
                <w:rStyle w:val="Hyperlink"/>
              </w:rPr>
              <w:t>Complaints</w:t>
            </w:r>
            <w:r w:rsidR="00BC349B" w:rsidRPr="002B6C02">
              <w:rPr>
                <w:rStyle w:val="Hyperlink"/>
                <w:spacing w:val="-8"/>
              </w:rPr>
              <w:t xml:space="preserve"> </w:t>
            </w:r>
            <w:r w:rsidR="00BC349B" w:rsidRPr="002B6C02">
              <w:rPr>
                <w:rStyle w:val="Hyperlink"/>
              </w:rPr>
              <w:t>about</w:t>
            </w:r>
            <w:r w:rsidR="00BC349B" w:rsidRPr="002B6C02">
              <w:rPr>
                <w:rStyle w:val="Hyperlink"/>
                <w:spacing w:val="-7"/>
              </w:rPr>
              <w:t xml:space="preserve"> </w:t>
            </w:r>
            <w:r w:rsidR="00BC349B" w:rsidRPr="002B6C02">
              <w:rPr>
                <w:rStyle w:val="Hyperlink"/>
                <w:spacing w:val="-2"/>
              </w:rPr>
              <w:t>discrimination</w:t>
            </w:r>
            <w:r w:rsidR="00BC349B">
              <w:rPr>
                <w:webHidden/>
              </w:rPr>
              <w:tab/>
            </w:r>
            <w:r w:rsidR="00BC349B">
              <w:rPr>
                <w:webHidden/>
              </w:rPr>
              <w:fldChar w:fldCharType="begin"/>
            </w:r>
            <w:r w:rsidR="00BC349B">
              <w:rPr>
                <w:webHidden/>
              </w:rPr>
              <w:instrText xml:space="preserve"> PAGEREF _Toc131144719 \h </w:instrText>
            </w:r>
            <w:r w:rsidR="00BC349B">
              <w:rPr>
                <w:webHidden/>
              </w:rPr>
            </w:r>
            <w:r w:rsidR="00BC349B">
              <w:rPr>
                <w:webHidden/>
              </w:rPr>
              <w:fldChar w:fldCharType="separate"/>
            </w:r>
            <w:r w:rsidR="00BC349B">
              <w:rPr>
                <w:webHidden/>
              </w:rPr>
              <w:t>59</w:t>
            </w:r>
            <w:r w:rsidR="00BC349B">
              <w:rPr>
                <w:webHidden/>
              </w:rPr>
              <w:fldChar w:fldCharType="end"/>
            </w:r>
          </w:hyperlink>
        </w:p>
        <w:p w14:paraId="281F6E7C" w14:textId="7FA2136C" w:rsidR="00BC349B" w:rsidRDefault="00000000">
          <w:pPr>
            <w:pStyle w:val="TOC1"/>
            <w:rPr>
              <w:rFonts w:asciiTheme="minorHAnsi" w:eastAsiaTheme="minorEastAsia" w:hAnsiTheme="minorHAnsi"/>
              <w:b w:val="0"/>
              <w:bCs w:val="0"/>
              <w:sz w:val="22"/>
              <w:lang w:val="en-AU" w:eastAsia="en-AU"/>
            </w:rPr>
          </w:pPr>
          <w:hyperlink w:anchor="_Toc131144720" w:history="1">
            <w:r w:rsidR="00BC349B" w:rsidRPr="002B6C02">
              <w:rPr>
                <w:rStyle w:val="Hyperlink"/>
              </w:rPr>
              <w:t>Complaints</w:t>
            </w:r>
            <w:r w:rsidR="00BC349B" w:rsidRPr="002B6C02">
              <w:rPr>
                <w:rStyle w:val="Hyperlink"/>
                <w:spacing w:val="-6"/>
              </w:rPr>
              <w:t xml:space="preserve"> </w:t>
            </w:r>
            <w:r w:rsidR="00BC349B" w:rsidRPr="002B6C02">
              <w:rPr>
                <w:rStyle w:val="Hyperlink"/>
              </w:rPr>
              <w:t>about</w:t>
            </w:r>
            <w:r w:rsidR="00BC349B" w:rsidRPr="002B6C02">
              <w:rPr>
                <w:rStyle w:val="Hyperlink"/>
                <w:spacing w:val="-5"/>
              </w:rPr>
              <w:t xml:space="preserve"> </w:t>
            </w:r>
            <w:r w:rsidR="00BC349B" w:rsidRPr="002B6C02">
              <w:rPr>
                <w:rStyle w:val="Hyperlink"/>
              </w:rPr>
              <w:t>sexual</w:t>
            </w:r>
            <w:r w:rsidR="00BC349B" w:rsidRPr="002B6C02">
              <w:rPr>
                <w:rStyle w:val="Hyperlink"/>
                <w:spacing w:val="-4"/>
              </w:rPr>
              <w:t xml:space="preserve"> </w:t>
            </w:r>
            <w:r w:rsidR="00BC349B" w:rsidRPr="002B6C02">
              <w:rPr>
                <w:rStyle w:val="Hyperlink"/>
                <w:spacing w:val="-2"/>
              </w:rPr>
              <w:t>harassment</w:t>
            </w:r>
            <w:r w:rsidR="00BC349B">
              <w:rPr>
                <w:webHidden/>
              </w:rPr>
              <w:tab/>
            </w:r>
            <w:r w:rsidR="00BC349B">
              <w:rPr>
                <w:webHidden/>
              </w:rPr>
              <w:fldChar w:fldCharType="begin"/>
            </w:r>
            <w:r w:rsidR="00BC349B">
              <w:rPr>
                <w:webHidden/>
              </w:rPr>
              <w:instrText xml:space="preserve"> PAGEREF _Toc131144720 \h </w:instrText>
            </w:r>
            <w:r w:rsidR="00BC349B">
              <w:rPr>
                <w:webHidden/>
              </w:rPr>
            </w:r>
            <w:r w:rsidR="00BC349B">
              <w:rPr>
                <w:webHidden/>
              </w:rPr>
              <w:fldChar w:fldCharType="separate"/>
            </w:r>
            <w:r w:rsidR="00BC349B">
              <w:rPr>
                <w:webHidden/>
              </w:rPr>
              <w:t>61</w:t>
            </w:r>
            <w:r w:rsidR="00BC349B">
              <w:rPr>
                <w:webHidden/>
              </w:rPr>
              <w:fldChar w:fldCharType="end"/>
            </w:r>
          </w:hyperlink>
        </w:p>
        <w:p w14:paraId="58DE5034" w14:textId="56D9A2E9" w:rsidR="00BC349B" w:rsidRDefault="00000000">
          <w:pPr>
            <w:pStyle w:val="TOC1"/>
            <w:rPr>
              <w:rFonts w:asciiTheme="minorHAnsi" w:eastAsiaTheme="minorEastAsia" w:hAnsiTheme="minorHAnsi"/>
              <w:b w:val="0"/>
              <w:bCs w:val="0"/>
              <w:sz w:val="22"/>
              <w:lang w:val="en-AU" w:eastAsia="en-AU"/>
            </w:rPr>
          </w:pPr>
          <w:hyperlink w:anchor="_Toc131144721" w:history="1">
            <w:r w:rsidR="00BC349B" w:rsidRPr="002B6C02">
              <w:rPr>
                <w:rStyle w:val="Hyperlink"/>
              </w:rPr>
              <w:t>Complaints</w:t>
            </w:r>
            <w:r w:rsidR="00BC349B" w:rsidRPr="002B6C02">
              <w:rPr>
                <w:rStyle w:val="Hyperlink"/>
                <w:spacing w:val="-7"/>
              </w:rPr>
              <w:t xml:space="preserve"> </w:t>
            </w:r>
            <w:r w:rsidR="00BC349B" w:rsidRPr="002B6C02">
              <w:rPr>
                <w:rStyle w:val="Hyperlink"/>
              </w:rPr>
              <w:t>about</w:t>
            </w:r>
            <w:r w:rsidR="00BC349B" w:rsidRPr="002B6C02">
              <w:rPr>
                <w:rStyle w:val="Hyperlink"/>
                <w:spacing w:val="-7"/>
              </w:rPr>
              <w:t xml:space="preserve"> </w:t>
            </w:r>
            <w:r w:rsidR="00BC349B" w:rsidRPr="002B6C02">
              <w:rPr>
                <w:rStyle w:val="Hyperlink"/>
              </w:rPr>
              <w:t>human</w:t>
            </w:r>
            <w:r w:rsidR="00BC349B" w:rsidRPr="002B6C02">
              <w:rPr>
                <w:rStyle w:val="Hyperlink"/>
                <w:spacing w:val="-6"/>
              </w:rPr>
              <w:t xml:space="preserve"> </w:t>
            </w:r>
            <w:r w:rsidR="00BC349B" w:rsidRPr="002B6C02">
              <w:rPr>
                <w:rStyle w:val="Hyperlink"/>
                <w:spacing w:val="-2"/>
              </w:rPr>
              <w:t>rights</w:t>
            </w:r>
            <w:r w:rsidR="00BC349B">
              <w:rPr>
                <w:webHidden/>
              </w:rPr>
              <w:tab/>
            </w:r>
            <w:r w:rsidR="00BC349B">
              <w:rPr>
                <w:webHidden/>
              </w:rPr>
              <w:fldChar w:fldCharType="begin"/>
            </w:r>
            <w:r w:rsidR="00BC349B">
              <w:rPr>
                <w:webHidden/>
              </w:rPr>
              <w:instrText xml:space="preserve"> PAGEREF _Toc131144721 \h </w:instrText>
            </w:r>
            <w:r w:rsidR="00BC349B">
              <w:rPr>
                <w:webHidden/>
              </w:rPr>
            </w:r>
            <w:r w:rsidR="00BC349B">
              <w:rPr>
                <w:webHidden/>
              </w:rPr>
              <w:fldChar w:fldCharType="separate"/>
            </w:r>
            <w:r w:rsidR="00BC349B">
              <w:rPr>
                <w:webHidden/>
              </w:rPr>
              <w:t>61</w:t>
            </w:r>
            <w:r w:rsidR="00BC349B">
              <w:rPr>
                <w:webHidden/>
              </w:rPr>
              <w:fldChar w:fldCharType="end"/>
            </w:r>
          </w:hyperlink>
        </w:p>
        <w:p w14:paraId="63B7CDD4" w14:textId="506A516E" w:rsidR="00BC349B" w:rsidRDefault="00000000">
          <w:pPr>
            <w:pStyle w:val="TOC1"/>
            <w:rPr>
              <w:rFonts w:asciiTheme="minorHAnsi" w:eastAsiaTheme="minorEastAsia" w:hAnsiTheme="minorHAnsi"/>
              <w:b w:val="0"/>
              <w:bCs w:val="0"/>
              <w:sz w:val="22"/>
              <w:lang w:val="en-AU" w:eastAsia="en-AU"/>
            </w:rPr>
          </w:pPr>
          <w:hyperlink w:anchor="_Toc131144722" w:history="1">
            <w:r w:rsidR="00BC349B" w:rsidRPr="002B6C02">
              <w:rPr>
                <w:rStyle w:val="Hyperlink"/>
              </w:rPr>
              <w:t>Complaints</w:t>
            </w:r>
            <w:r w:rsidR="00BC349B" w:rsidRPr="002B6C02">
              <w:rPr>
                <w:rStyle w:val="Hyperlink"/>
                <w:spacing w:val="-8"/>
              </w:rPr>
              <w:t xml:space="preserve"> </w:t>
            </w:r>
            <w:r w:rsidR="00BC349B" w:rsidRPr="002B6C02">
              <w:rPr>
                <w:rStyle w:val="Hyperlink"/>
              </w:rPr>
              <w:t>about</w:t>
            </w:r>
            <w:r w:rsidR="00BC349B" w:rsidRPr="002B6C02">
              <w:rPr>
                <w:rStyle w:val="Hyperlink"/>
                <w:spacing w:val="-7"/>
              </w:rPr>
              <w:t xml:space="preserve"> </w:t>
            </w:r>
            <w:r w:rsidR="00BC349B" w:rsidRPr="002B6C02">
              <w:rPr>
                <w:rStyle w:val="Hyperlink"/>
                <w:spacing w:val="-2"/>
              </w:rPr>
              <w:t>vilification</w:t>
            </w:r>
            <w:r w:rsidR="00BC349B">
              <w:rPr>
                <w:webHidden/>
              </w:rPr>
              <w:tab/>
            </w:r>
            <w:r w:rsidR="00BC349B">
              <w:rPr>
                <w:webHidden/>
              </w:rPr>
              <w:fldChar w:fldCharType="begin"/>
            </w:r>
            <w:r w:rsidR="00BC349B">
              <w:rPr>
                <w:webHidden/>
              </w:rPr>
              <w:instrText xml:space="preserve"> PAGEREF _Toc131144722 \h </w:instrText>
            </w:r>
            <w:r w:rsidR="00BC349B">
              <w:rPr>
                <w:webHidden/>
              </w:rPr>
            </w:r>
            <w:r w:rsidR="00BC349B">
              <w:rPr>
                <w:webHidden/>
              </w:rPr>
              <w:fldChar w:fldCharType="separate"/>
            </w:r>
            <w:r w:rsidR="00BC349B">
              <w:rPr>
                <w:webHidden/>
              </w:rPr>
              <w:t>62</w:t>
            </w:r>
            <w:r w:rsidR="00BC349B">
              <w:rPr>
                <w:webHidden/>
              </w:rPr>
              <w:fldChar w:fldCharType="end"/>
            </w:r>
          </w:hyperlink>
        </w:p>
        <w:p w14:paraId="1D603049" w14:textId="61952EAD" w:rsidR="00BC349B" w:rsidRDefault="00000000">
          <w:pPr>
            <w:pStyle w:val="TOC1"/>
            <w:rPr>
              <w:rFonts w:asciiTheme="minorHAnsi" w:eastAsiaTheme="minorEastAsia" w:hAnsiTheme="minorHAnsi"/>
              <w:b w:val="0"/>
              <w:bCs w:val="0"/>
              <w:sz w:val="22"/>
              <w:lang w:val="en-AU" w:eastAsia="en-AU"/>
            </w:rPr>
          </w:pPr>
          <w:hyperlink w:anchor="_Toc131144723" w:history="1">
            <w:r w:rsidR="00BC349B" w:rsidRPr="002B6C02">
              <w:rPr>
                <w:rStyle w:val="Hyperlink"/>
              </w:rPr>
              <w:t>Other</w:t>
            </w:r>
            <w:r w:rsidR="00BC349B" w:rsidRPr="002B6C02">
              <w:rPr>
                <w:rStyle w:val="Hyperlink"/>
                <w:spacing w:val="-3"/>
              </w:rPr>
              <w:t xml:space="preserve"> </w:t>
            </w:r>
            <w:r w:rsidR="00BC349B" w:rsidRPr="002B6C02">
              <w:rPr>
                <w:rStyle w:val="Hyperlink"/>
              </w:rPr>
              <w:t>types of</w:t>
            </w:r>
            <w:r w:rsidR="00BC349B" w:rsidRPr="002B6C02">
              <w:rPr>
                <w:rStyle w:val="Hyperlink"/>
                <w:spacing w:val="-1"/>
              </w:rPr>
              <w:t xml:space="preserve"> </w:t>
            </w:r>
            <w:r w:rsidR="00BC349B" w:rsidRPr="002B6C02">
              <w:rPr>
                <w:rStyle w:val="Hyperlink"/>
                <w:spacing w:val="-2"/>
              </w:rPr>
              <w:t>complaints</w:t>
            </w:r>
            <w:r w:rsidR="00BC349B">
              <w:rPr>
                <w:webHidden/>
              </w:rPr>
              <w:tab/>
            </w:r>
            <w:r w:rsidR="00BC349B">
              <w:rPr>
                <w:webHidden/>
              </w:rPr>
              <w:fldChar w:fldCharType="begin"/>
            </w:r>
            <w:r w:rsidR="00BC349B">
              <w:rPr>
                <w:webHidden/>
              </w:rPr>
              <w:instrText xml:space="preserve"> PAGEREF _Toc131144723 \h </w:instrText>
            </w:r>
            <w:r w:rsidR="00BC349B">
              <w:rPr>
                <w:webHidden/>
              </w:rPr>
            </w:r>
            <w:r w:rsidR="00BC349B">
              <w:rPr>
                <w:webHidden/>
              </w:rPr>
              <w:fldChar w:fldCharType="separate"/>
            </w:r>
            <w:r w:rsidR="00BC349B">
              <w:rPr>
                <w:webHidden/>
              </w:rPr>
              <w:t>62</w:t>
            </w:r>
            <w:r w:rsidR="00BC349B">
              <w:rPr>
                <w:webHidden/>
              </w:rPr>
              <w:fldChar w:fldCharType="end"/>
            </w:r>
          </w:hyperlink>
        </w:p>
        <w:p w14:paraId="0E291413" w14:textId="4D9E3343" w:rsidR="00BC349B" w:rsidRDefault="00000000">
          <w:pPr>
            <w:pStyle w:val="TOC1"/>
            <w:rPr>
              <w:rFonts w:asciiTheme="minorHAnsi" w:eastAsiaTheme="minorEastAsia" w:hAnsiTheme="minorHAnsi"/>
              <w:b w:val="0"/>
              <w:bCs w:val="0"/>
              <w:sz w:val="22"/>
              <w:lang w:val="en-AU" w:eastAsia="en-AU"/>
            </w:rPr>
          </w:pPr>
          <w:hyperlink w:anchor="_Toc131144724" w:history="1">
            <w:r w:rsidR="00BC349B" w:rsidRPr="002B6C02">
              <w:rPr>
                <w:rStyle w:val="Hyperlink"/>
              </w:rPr>
              <w:t>How</w:t>
            </w:r>
            <w:r w:rsidR="00BC349B" w:rsidRPr="002B6C02">
              <w:rPr>
                <w:rStyle w:val="Hyperlink"/>
                <w:spacing w:val="-1"/>
              </w:rPr>
              <w:t xml:space="preserve"> </w:t>
            </w:r>
            <w:r w:rsidR="00BC349B" w:rsidRPr="002B6C02">
              <w:rPr>
                <w:rStyle w:val="Hyperlink"/>
              </w:rPr>
              <w:t>do</w:t>
            </w:r>
            <w:r w:rsidR="00BC349B" w:rsidRPr="002B6C02">
              <w:rPr>
                <w:rStyle w:val="Hyperlink"/>
                <w:spacing w:val="-2"/>
              </w:rPr>
              <w:t xml:space="preserve"> </w:t>
            </w:r>
            <w:r w:rsidR="00BC349B" w:rsidRPr="002B6C02">
              <w:rPr>
                <w:rStyle w:val="Hyperlink"/>
              </w:rPr>
              <w:t>I</w:t>
            </w:r>
            <w:r w:rsidR="00BC349B" w:rsidRPr="002B6C02">
              <w:rPr>
                <w:rStyle w:val="Hyperlink"/>
                <w:spacing w:val="-1"/>
              </w:rPr>
              <w:t xml:space="preserve"> </w:t>
            </w:r>
            <w:r w:rsidR="00BC349B" w:rsidRPr="002B6C02">
              <w:rPr>
                <w:rStyle w:val="Hyperlink"/>
                <w:spacing w:val="-2"/>
              </w:rPr>
              <w:t>complain?</w:t>
            </w:r>
            <w:r w:rsidR="00BC349B">
              <w:rPr>
                <w:webHidden/>
              </w:rPr>
              <w:tab/>
            </w:r>
            <w:r w:rsidR="00BC349B">
              <w:rPr>
                <w:webHidden/>
              </w:rPr>
              <w:fldChar w:fldCharType="begin"/>
            </w:r>
            <w:r w:rsidR="00BC349B">
              <w:rPr>
                <w:webHidden/>
              </w:rPr>
              <w:instrText xml:space="preserve"> PAGEREF _Toc131144724 \h </w:instrText>
            </w:r>
            <w:r w:rsidR="00BC349B">
              <w:rPr>
                <w:webHidden/>
              </w:rPr>
            </w:r>
            <w:r w:rsidR="00BC349B">
              <w:rPr>
                <w:webHidden/>
              </w:rPr>
              <w:fldChar w:fldCharType="separate"/>
            </w:r>
            <w:r w:rsidR="00BC349B">
              <w:rPr>
                <w:webHidden/>
              </w:rPr>
              <w:t>62</w:t>
            </w:r>
            <w:r w:rsidR="00BC349B">
              <w:rPr>
                <w:webHidden/>
              </w:rPr>
              <w:fldChar w:fldCharType="end"/>
            </w:r>
          </w:hyperlink>
        </w:p>
        <w:p w14:paraId="58F3CF2E" w14:textId="245E3B43" w:rsidR="00BC349B" w:rsidRDefault="00000000">
          <w:pPr>
            <w:pStyle w:val="TOC1"/>
            <w:rPr>
              <w:rFonts w:asciiTheme="minorHAnsi" w:eastAsiaTheme="minorEastAsia" w:hAnsiTheme="minorHAnsi"/>
              <w:b w:val="0"/>
              <w:bCs w:val="0"/>
              <w:sz w:val="22"/>
              <w:lang w:val="en-AU" w:eastAsia="en-AU"/>
            </w:rPr>
          </w:pPr>
          <w:hyperlink w:anchor="_Toc131144725" w:history="1">
            <w:r w:rsidR="00BC349B" w:rsidRPr="002B6C02">
              <w:rPr>
                <w:rStyle w:val="Hyperlink"/>
              </w:rPr>
              <w:t>Do</w:t>
            </w:r>
            <w:r w:rsidR="00BC349B" w:rsidRPr="002B6C02">
              <w:rPr>
                <w:rStyle w:val="Hyperlink"/>
                <w:spacing w:val="-2"/>
              </w:rPr>
              <w:t xml:space="preserve"> </w:t>
            </w:r>
            <w:r w:rsidR="00BC349B" w:rsidRPr="002B6C02">
              <w:rPr>
                <w:rStyle w:val="Hyperlink"/>
              </w:rPr>
              <w:t>I</w:t>
            </w:r>
            <w:r w:rsidR="00BC349B" w:rsidRPr="002B6C02">
              <w:rPr>
                <w:rStyle w:val="Hyperlink"/>
                <w:spacing w:val="-1"/>
              </w:rPr>
              <w:t xml:space="preserve"> </w:t>
            </w:r>
            <w:r w:rsidR="00BC349B" w:rsidRPr="002B6C02">
              <w:rPr>
                <w:rStyle w:val="Hyperlink"/>
              </w:rPr>
              <w:t>need</w:t>
            </w:r>
            <w:r w:rsidR="00BC349B" w:rsidRPr="002B6C02">
              <w:rPr>
                <w:rStyle w:val="Hyperlink"/>
                <w:spacing w:val="-2"/>
              </w:rPr>
              <w:t xml:space="preserve"> </w:t>
            </w:r>
            <w:r w:rsidR="00BC349B" w:rsidRPr="002B6C02">
              <w:rPr>
                <w:rStyle w:val="Hyperlink"/>
              </w:rPr>
              <w:t>a</w:t>
            </w:r>
            <w:r w:rsidR="00BC349B" w:rsidRPr="002B6C02">
              <w:rPr>
                <w:rStyle w:val="Hyperlink"/>
                <w:spacing w:val="-2"/>
              </w:rPr>
              <w:t xml:space="preserve"> lawyer?</w:t>
            </w:r>
            <w:r w:rsidR="00BC349B">
              <w:rPr>
                <w:webHidden/>
              </w:rPr>
              <w:tab/>
            </w:r>
            <w:r w:rsidR="00BC349B">
              <w:rPr>
                <w:webHidden/>
              </w:rPr>
              <w:fldChar w:fldCharType="begin"/>
            </w:r>
            <w:r w:rsidR="00BC349B">
              <w:rPr>
                <w:webHidden/>
              </w:rPr>
              <w:instrText xml:space="preserve"> PAGEREF _Toc131144725 \h </w:instrText>
            </w:r>
            <w:r w:rsidR="00BC349B">
              <w:rPr>
                <w:webHidden/>
              </w:rPr>
            </w:r>
            <w:r w:rsidR="00BC349B">
              <w:rPr>
                <w:webHidden/>
              </w:rPr>
              <w:fldChar w:fldCharType="separate"/>
            </w:r>
            <w:r w:rsidR="00BC349B">
              <w:rPr>
                <w:webHidden/>
              </w:rPr>
              <w:t>63</w:t>
            </w:r>
            <w:r w:rsidR="00BC349B">
              <w:rPr>
                <w:webHidden/>
              </w:rPr>
              <w:fldChar w:fldCharType="end"/>
            </w:r>
          </w:hyperlink>
        </w:p>
        <w:p w14:paraId="1C5FECFB" w14:textId="78B18C74" w:rsidR="00BC349B" w:rsidRDefault="00000000">
          <w:pPr>
            <w:pStyle w:val="TOC1"/>
            <w:rPr>
              <w:rFonts w:asciiTheme="minorHAnsi" w:eastAsiaTheme="minorEastAsia" w:hAnsiTheme="minorHAnsi"/>
              <w:b w:val="0"/>
              <w:bCs w:val="0"/>
              <w:sz w:val="22"/>
              <w:lang w:val="en-AU" w:eastAsia="en-AU"/>
            </w:rPr>
          </w:pPr>
          <w:hyperlink w:anchor="_Toc131144726" w:history="1">
            <w:r w:rsidR="00BC349B" w:rsidRPr="002B6C02">
              <w:rPr>
                <w:rStyle w:val="Hyperlink"/>
              </w:rPr>
              <w:t>What</w:t>
            </w:r>
            <w:r w:rsidR="00BC349B" w:rsidRPr="002B6C02">
              <w:rPr>
                <w:rStyle w:val="Hyperlink"/>
                <w:spacing w:val="-4"/>
              </w:rPr>
              <w:t xml:space="preserve"> </w:t>
            </w:r>
            <w:r w:rsidR="00BC349B" w:rsidRPr="002B6C02">
              <w:rPr>
                <w:rStyle w:val="Hyperlink"/>
              </w:rPr>
              <w:t>should</w:t>
            </w:r>
            <w:r w:rsidR="00BC349B" w:rsidRPr="002B6C02">
              <w:rPr>
                <w:rStyle w:val="Hyperlink"/>
                <w:spacing w:val="-1"/>
              </w:rPr>
              <w:t xml:space="preserve"> </w:t>
            </w:r>
            <w:r w:rsidR="00BC349B" w:rsidRPr="002B6C02">
              <w:rPr>
                <w:rStyle w:val="Hyperlink"/>
              </w:rPr>
              <w:t>I</w:t>
            </w:r>
            <w:r w:rsidR="00BC349B" w:rsidRPr="002B6C02">
              <w:rPr>
                <w:rStyle w:val="Hyperlink"/>
                <w:spacing w:val="-1"/>
              </w:rPr>
              <w:t xml:space="preserve"> </w:t>
            </w:r>
            <w:r w:rsidR="00BC349B" w:rsidRPr="002B6C02">
              <w:rPr>
                <w:rStyle w:val="Hyperlink"/>
              </w:rPr>
              <w:t>include</w:t>
            </w:r>
            <w:r w:rsidR="00BC349B" w:rsidRPr="002B6C02">
              <w:rPr>
                <w:rStyle w:val="Hyperlink"/>
                <w:spacing w:val="-2"/>
              </w:rPr>
              <w:t xml:space="preserve"> </w:t>
            </w:r>
            <w:r w:rsidR="00BC349B" w:rsidRPr="002B6C02">
              <w:rPr>
                <w:rStyle w:val="Hyperlink"/>
              </w:rPr>
              <w:t>in</w:t>
            </w:r>
            <w:r w:rsidR="00BC349B" w:rsidRPr="002B6C02">
              <w:rPr>
                <w:rStyle w:val="Hyperlink"/>
                <w:spacing w:val="-2"/>
              </w:rPr>
              <w:t xml:space="preserve"> </w:t>
            </w:r>
            <w:r w:rsidR="00BC349B" w:rsidRPr="002B6C02">
              <w:rPr>
                <w:rStyle w:val="Hyperlink"/>
              </w:rPr>
              <w:t>my</w:t>
            </w:r>
            <w:r w:rsidR="00BC349B" w:rsidRPr="002B6C02">
              <w:rPr>
                <w:rStyle w:val="Hyperlink"/>
                <w:spacing w:val="-1"/>
              </w:rPr>
              <w:t xml:space="preserve"> </w:t>
            </w:r>
            <w:r w:rsidR="00BC349B" w:rsidRPr="002B6C02">
              <w:rPr>
                <w:rStyle w:val="Hyperlink"/>
                <w:spacing w:val="-2"/>
              </w:rPr>
              <w:t>complaint?</w:t>
            </w:r>
            <w:r w:rsidR="00BC349B">
              <w:rPr>
                <w:webHidden/>
              </w:rPr>
              <w:tab/>
            </w:r>
            <w:r w:rsidR="00BC349B">
              <w:rPr>
                <w:webHidden/>
              </w:rPr>
              <w:fldChar w:fldCharType="begin"/>
            </w:r>
            <w:r w:rsidR="00BC349B">
              <w:rPr>
                <w:webHidden/>
              </w:rPr>
              <w:instrText xml:space="preserve"> PAGEREF _Toc131144726 \h </w:instrText>
            </w:r>
            <w:r w:rsidR="00BC349B">
              <w:rPr>
                <w:webHidden/>
              </w:rPr>
            </w:r>
            <w:r w:rsidR="00BC349B">
              <w:rPr>
                <w:webHidden/>
              </w:rPr>
              <w:fldChar w:fldCharType="separate"/>
            </w:r>
            <w:r w:rsidR="00BC349B">
              <w:rPr>
                <w:webHidden/>
              </w:rPr>
              <w:t>63</w:t>
            </w:r>
            <w:r w:rsidR="00BC349B">
              <w:rPr>
                <w:webHidden/>
              </w:rPr>
              <w:fldChar w:fldCharType="end"/>
            </w:r>
          </w:hyperlink>
        </w:p>
        <w:p w14:paraId="271327C9" w14:textId="43F6C1C4" w:rsidR="00BC349B" w:rsidRDefault="00000000">
          <w:pPr>
            <w:pStyle w:val="TOC1"/>
            <w:rPr>
              <w:rFonts w:asciiTheme="minorHAnsi" w:eastAsiaTheme="minorEastAsia" w:hAnsiTheme="minorHAnsi"/>
              <w:b w:val="0"/>
              <w:bCs w:val="0"/>
              <w:sz w:val="22"/>
              <w:lang w:val="en-AU" w:eastAsia="en-AU"/>
            </w:rPr>
          </w:pPr>
          <w:hyperlink w:anchor="_Toc131144727" w:history="1">
            <w:r w:rsidR="00BC349B" w:rsidRPr="002B6C02">
              <w:rPr>
                <w:rStyle w:val="Hyperlink"/>
              </w:rPr>
              <w:t>Can</w:t>
            </w:r>
            <w:r w:rsidR="00BC349B" w:rsidRPr="002B6C02">
              <w:rPr>
                <w:rStyle w:val="Hyperlink"/>
                <w:spacing w:val="-4"/>
              </w:rPr>
              <w:t xml:space="preserve"> </w:t>
            </w:r>
            <w:r w:rsidR="00BC349B" w:rsidRPr="002B6C02">
              <w:rPr>
                <w:rStyle w:val="Hyperlink"/>
              </w:rPr>
              <w:t>I</w:t>
            </w:r>
            <w:r w:rsidR="00BC349B" w:rsidRPr="002B6C02">
              <w:rPr>
                <w:rStyle w:val="Hyperlink"/>
                <w:spacing w:val="-2"/>
              </w:rPr>
              <w:t xml:space="preserve"> </w:t>
            </w:r>
            <w:r w:rsidR="00BC349B" w:rsidRPr="002B6C02">
              <w:rPr>
                <w:rStyle w:val="Hyperlink"/>
              </w:rPr>
              <w:t>withdraw</w:t>
            </w:r>
            <w:r w:rsidR="00BC349B" w:rsidRPr="002B6C02">
              <w:rPr>
                <w:rStyle w:val="Hyperlink"/>
                <w:spacing w:val="-3"/>
              </w:rPr>
              <w:t xml:space="preserve"> </w:t>
            </w:r>
            <w:r w:rsidR="00BC349B" w:rsidRPr="002B6C02">
              <w:rPr>
                <w:rStyle w:val="Hyperlink"/>
              </w:rPr>
              <w:t>my</w:t>
            </w:r>
            <w:r w:rsidR="00BC349B" w:rsidRPr="002B6C02">
              <w:rPr>
                <w:rStyle w:val="Hyperlink"/>
                <w:spacing w:val="-2"/>
              </w:rPr>
              <w:t xml:space="preserve"> complaint?</w:t>
            </w:r>
            <w:r w:rsidR="00BC349B">
              <w:rPr>
                <w:webHidden/>
              </w:rPr>
              <w:tab/>
            </w:r>
            <w:r w:rsidR="00BC349B">
              <w:rPr>
                <w:webHidden/>
              </w:rPr>
              <w:fldChar w:fldCharType="begin"/>
            </w:r>
            <w:r w:rsidR="00BC349B">
              <w:rPr>
                <w:webHidden/>
              </w:rPr>
              <w:instrText xml:space="preserve"> PAGEREF _Toc131144727 \h </w:instrText>
            </w:r>
            <w:r w:rsidR="00BC349B">
              <w:rPr>
                <w:webHidden/>
              </w:rPr>
            </w:r>
            <w:r w:rsidR="00BC349B">
              <w:rPr>
                <w:webHidden/>
              </w:rPr>
              <w:fldChar w:fldCharType="separate"/>
            </w:r>
            <w:r w:rsidR="00BC349B">
              <w:rPr>
                <w:webHidden/>
              </w:rPr>
              <w:t>64</w:t>
            </w:r>
            <w:r w:rsidR="00BC349B">
              <w:rPr>
                <w:webHidden/>
              </w:rPr>
              <w:fldChar w:fldCharType="end"/>
            </w:r>
          </w:hyperlink>
        </w:p>
        <w:p w14:paraId="24EA1241" w14:textId="47660689" w:rsidR="00BC349B" w:rsidRDefault="00000000">
          <w:pPr>
            <w:pStyle w:val="TOC1"/>
            <w:rPr>
              <w:rFonts w:asciiTheme="minorHAnsi" w:eastAsiaTheme="minorEastAsia" w:hAnsiTheme="minorHAnsi"/>
              <w:b w:val="0"/>
              <w:bCs w:val="0"/>
              <w:sz w:val="22"/>
              <w:lang w:val="en-AU" w:eastAsia="en-AU"/>
            </w:rPr>
          </w:pPr>
          <w:hyperlink w:anchor="_Toc131144728" w:history="1">
            <w:r w:rsidR="00BC349B" w:rsidRPr="002B6C02">
              <w:rPr>
                <w:rStyle w:val="Hyperlink"/>
              </w:rPr>
              <w:t>What</w:t>
            </w:r>
            <w:r w:rsidR="00BC349B" w:rsidRPr="002B6C02">
              <w:rPr>
                <w:rStyle w:val="Hyperlink"/>
                <w:spacing w:val="-3"/>
              </w:rPr>
              <w:t xml:space="preserve"> </w:t>
            </w:r>
            <w:r w:rsidR="00BC349B" w:rsidRPr="002B6C02">
              <w:rPr>
                <w:rStyle w:val="Hyperlink"/>
              </w:rPr>
              <w:t>happens</w:t>
            </w:r>
            <w:r w:rsidR="00BC349B" w:rsidRPr="002B6C02">
              <w:rPr>
                <w:rStyle w:val="Hyperlink"/>
                <w:spacing w:val="-3"/>
              </w:rPr>
              <w:t xml:space="preserve"> </w:t>
            </w:r>
            <w:r w:rsidR="00BC349B" w:rsidRPr="002B6C02">
              <w:rPr>
                <w:rStyle w:val="Hyperlink"/>
              </w:rPr>
              <w:t>with</w:t>
            </w:r>
            <w:r w:rsidR="00BC349B" w:rsidRPr="002B6C02">
              <w:rPr>
                <w:rStyle w:val="Hyperlink"/>
                <w:spacing w:val="-3"/>
              </w:rPr>
              <w:t xml:space="preserve"> </w:t>
            </w:r>
            <w:r w:rsidR="00BC349B" w:rsidRPr="002B6C02">
              <w:rPr>
                <w:rStyle w:val="Hyperlink"/>
              </w:rPr>
              <w:t>my</w:t>
            </w:r>
            <w:r w:rsidR="00BC349B" w:rsidRPr="002B6C02">
              <w:rPr>
                <w:rStyle w:val="Hyperlink"/>
                <w:spacing w:val="-2"/>
              </w:rPr>
              <w:t xml:space="preserve"> complaint?</w:t>
            </w:r>
            <w:r w:rsidR="00BC349B">
              <w:rPr>
                <w:webHidden/>
              </w:rPr>
              <w:tab/>
            </w:r>
            <w:r w:rsidR="00BC349B">
              <w:rPr>
                <w:webHidden/>
              </w:rPr>
              <w:fldChar w:fldCharType="begin"/>
            </w:r>
            <w:r w:rsidR="00BC349B">
              <w:rPr>
                <w:webHidden/>
              </w:rPr>
              <w:instrText xml:space="preserve"> PAGEREF _Toc131144728 \h </w:instrText>
            </w:r>
            <w:r w:rsidR="00BC349B">
              <w:rPr>
                <w:webHidden/>
              </w:rPr>
            </w:r>
            <w:r w:rsidR="00BC349B">
              <w:rPr>
                <w:webHidden/>
              </w:rPr>
              <w:fldChar w:fldCharType="separate"/>
            </w:r>
            <w:r w:rsidR="00BC349B">
              <w:rPr>
                <w:webHidden/>
              </w:rPr>
              <w:t>64</w:t>
            </w:r>
            <w:r w:rsidR="00BC349B">
              <w:rPr>
                <w:webHidden/>
              </w:rPr>
              <w:fldChar w:fldCharType="end"/>
            </w:r>
          </w:hyperlink>
        </w:p>
        <w:p w14:paraId="42CAFEFC" w14:textId="48A00969" w:rsidR="00BC349B" w:rsidRDefault="00000000">
          <w:pPr>
            <w:pStyle w:val="TOC1"/>
            <w:rPr>
              <w:rFonts w:asciiTheme="minorHAnsi" w:eastAsiaTheme="minorEastAsia" w:hAnsiTheme="minorHAnsi"/>
              <w:b w:val="0"/>
              <w:bCs w:val="0"/>
              <w:sz w:val="22"/>
              <w:lang w:val="en-AU" w:eastAsia="en-AU"/>
            </w:rPr>
          </w:pPr>
          <w:hyperlink w:anchor="_Toc131144729" w:history="1">
            <w:r w:rsidR="00BC349B" w:rsidRPr="002B6C02">
              <w:rPr>
                <w:rStyle w:val="Hyperlink"/>
              </w:rPr>
              <w:t>What</w:t>
            </w:r>
            <w:r w:rsidR="00BC349B" w:rsidRPr="002B6C02">
              <w:rPr>
                <w:rStyle w:val="Hyperlink"/>
                <w:spacing w:val="-5"/>
              </w:rPr>
              <w:t xml:space="preserve"> </w:t>
            </w:r>
            <w:r w:rsidR="00BC349B" w:rsidRPr="002B6C02">
              <w:rPr>
                <w:rStyle w:val="Hyperlink"/>
              </w:rPr>
              <w:t>is</w:t>
            </w:r>
            <w:r w:rsidR="00BC349B" w:rsidRPr="002B6C02">
              <w:rPr>
                <w:rStyle w:val="Hyperlink"/>
                <w:spacing w:val="-5"/>
              </w:rPr>
              <w:t xml:space="preserve"> </w:t>
            </w:r>
            <w:r w:rsidR="00BC349B" w:rsidRPr="002B6C02">
              <w:rPr>
                <w:rStyle w:val="Hyperlink"/>
              </w:rPr>
              <w:t>the</w:t>
            </w:r>
            <w:r w:rsidR="00BC349B" w:rsidRPr="002B6C02">
              <w:rPr>
                <w:rStyle w:val="Hyperlink"/>
                <w:spacing w:val="-5"/>
              </w:rPr>
              <w:t xml:space="preserve"> </w:t>
            </w:r>
            <w:r w:rsidR="00BC349B" w:rsidRPr="002B6C02">
              <w:rPr>
                <w:rStyle w:val="Hyperlink"/>
              </w:rPr>
              <w:t>Commission’s</w:t>
            </w:r>
            <w:r w:rsidR="00BC349B" w:rsidRPr="002B6C02">
              <w:rPr>
                <w:rStyle w:val="Hyperlink"/>
                <w:spacing w:val="-4"/>
              </w:rPr>
              <w:t xml:space="preserve"> role?</w:t>
            </w:r>
            <w:r w:rsidR="00BC349B">
              <w:rPr>
                <w:webHidden/>
              </w:rPr>
              <w:tab/>
            </w:r>
            <w:r w:rsidR="00BC349B">
              <w:rPr>
                <w:webHidden/>
              </w:rPr>
              <w:fldChar w:fldCharType="begin"/>
            </w:r>
            <w:r w:rsidR="00BC349B">
              <w:rPr>
                <w:webHidden/>
              </w:rPr>
              <w:instrText xml:space="preserve"> PAGEREF _Toc131144729 \h </w:instrText>
            </w:r>
            <w:r w:rsidR="00BC349B">
              <w:rPr>
                <w:webHidden/>
              </w:rPr>
            </w:r>
            <w:r w:rsidR="00BC349B">
              <w:rPr>
                <w:webHidden/>
              </w:rPr>
              <w:fldChar w:fldCharType="separate"/>
            </w:r>
            <w:r w:rsidR="00BC349B">
              <w:rPr>
                <w:webHidden/>
              </w:rPr>
              <w:t>64</w:t>
            </w:r>
            <w:r w:rsidR="00BC349B">
              <w:rPr>
                <w:webHidden/>
              </w:rPr>
              <w:fldChar w:fldCharType="end"/>
            </w:r>
          </w:hyperlink>
        </w:p>
        <w:p w14:paraId="00A4EC4E" w14:textId="14C29573" w:rsidR="00BC349B" w:rsidRDefault="00000000">
          <w:pPr>
            <w:pStyle w:val="TOC1"/>
            <w:rPr>
              <w:rFonts w:asciiTheme="minorHAnsi" w:eastAsiaTheme="minorEastAsia" w:hAnsiTheme="minorHAnsi"/>
              <w:b w:val="0"/>
              <w:bCs w:val="0"/>
              <w:sz w:val="22"/>
              <w:lang w:val="en-AU" w:eastAsia="en-AU"/>
            </w:rPr>
          </w:pPr>
          <w:hyperlink w:anchor="_Toc131144730" w:history="1">
            <w:r w:rsidR="00BC349B" w:rsidRPr="002B6C02">
              <w:rPr>
                <w:rStyle w:val="Hyperlink"/>
              </w:rPr>
              <w:t>Privacy</w:t>
            </w:r>
            <w:r w:rsidR="00BC349B" w:rsidRPr="002B6C02">
              <w:rPr>
                <w:rStyle w:val="Hyperlink"/>
                <w:spacing w:val="-5"/>
              </w:rPr>
              <w:t xml:space="preserve"> </w:t>
            </w:r>
            <w:r w:rsidR="00BC349B" w:rsidRPr="002B6C02">
              <w:rPr>
                <w:rStyle w:val="Hyperlink"/>
              </w:rPr>
              <w:t>information</w:t>
            </w:r>
            <w:r w:rsidR="00BC349B" w:rsidRPr="002B6C02">
              <w:rPr>
                <w:rStyle w:val="Hyperlink"/>
                <w:spacing w:val="-3"/>
              </w:rPr>
              <w:t xml:space="preserve"> </w:t>
            </w:r>
            <w:r w:rsidR="00BC349B" w:rsidRPr="002B6C02">
              <w:rPr>
                <w:rStyle w:val="Hyperlink"/>
              </w:rPr>
              <w:t>for</w:t>
            </w:r>
            <w:r w:rsidR="00BC349B" w:rsidRPr="002B6C02">
              <w:rPr>
                <w:rStyle w:val="Hyperlink"/>
                <w:spacing w:val="-3"/>
              </w:rPr>
              <w:t xml:space="preserve"> </w:t>
            </w:r>
            <w:r w:rsidR="00BC349B" w:rsidRPr="002B6C02">
              <w:rPr>
                <w:rStyle w:val="Hyperlink"/>
              </w:rPr>
              <w:t>people</w:t>
            </w:r>
            <w:r w:rsidR="00BC349B" w:rsidRPr="002B6C02">
              <w:rPr>
                <w:rStyle w:val="Hyperlink"/>
                <w:spacing w:val="-3"/>
              </w:rPr>
              <w:t xml:space="preserve"> </w:t>
            </w:r>
            <w:r w:rsidR="00BC349B" w:rsidRPr="002B6C02">
              <w:rPr>
                <w:rStyle w:val="Hyperlink"/>
              </w:rPr>
              <w:t>making</w:t>
            </w:r>
            <w:r w:rsidR="00BC349B" w:rsidRPr="002B6C02">
              <w:rPr>
                <w:rStyle w:val="Hyperlink"/>
                <w:spacing w:val="-3"/>
              </w:rPr>
              <w:t xml:space="preserve"> </w:t>
            </w:r>
            <w:r w:rsidR="00BC349B" w:rsidRPr="002B6C02">
              <w:rPr>
                <w:rStyle w:val="Hyperlink"/>
              </w:rPr>
              <w:t>a</w:t>
            </w:r>
            <w:r w:rsidR="00BC349B" w:rsidRPr="002B6C02">
              <w:rPr>
                <w:rStyle w:val="Hyperlink"/>
                <w:spacing w:val="-3"/>
              </w:rPr>
              <w:t xml:space="preserve"> </w:t>
            </w:r>
            <w:r w:rsidR="00BC349B" w:rsidRPr="002B6C02">
              <w:rPr>
                <w:rStyle w:val="Hyperlink"/>
                <w:spacing w:val="-2"/>
              </w:rPr>
              <w:t>complaint</w:t>
            </w:r>
            <w:r w:rsidR="00BC349B">
              <w:rPr>
                <w:webHidden/>
              </w:rPr>
              <w:tab/>
            </w:r>
            <w:r w:rsidR="00BC349B">
              <w:rPr>
                <w:webHidden/>
              </w:rPr>
              <w:fldChar w:fldCharType="begin"/>
            </w:r>
            <w:r w:rsidR="00BC349B">
              <w:rPr>
                <w:webHidden/>
              </w:rPr>
              <w:instrText xml:space="preserve"> PAGEREF _Toc131144730 \h </w:instrText>
            </w:r>
            <w:r w:rsidR="00BC349B">
              <w:rPr>
                <w:webHidden/>
              </w:rPr>
            </w:r>
            <w:r w:rsidR="00BC349B">
              <w:rPr>
                <w:webHidden/>
              </w:rPr>
              <w:fldChar w:fldCharType="separate"/>
            </w:r>
            <w:r w:rsidR="00BC349B">
              <w:rPr>
                <w:webHidden/>
              </w:rPr>
              <w:t>65</w:t>
            </w:r>
            <w:r w:rsidR="00BC349B">
              <w:rPr>
                <w:webHidden/>
              </w:rPr>
              <w:fldChar w:fldCharType="end"/>
            </w:r>
          </w:hyperlink>
        </w:p>
        <w:p w14:paraId="520A2F3F" w14:textId="0518EC39" w:rsidR="00BC349B" w:rsidRDefault="00000000">
          <w:pPr>
            <w:pStyle w:val="TOC1"/>
            <w:rPr>
              <w:rFonts w:asciiTheme="minorHAnsi" w:eastAsiaTheme="minorEastAsia" w:hAnsiTheme="minorHAnsi"/>
              <w:b w:val="0"/>
              <w:bCs w:val="0"/>
              <w:sz w:val="22"/>
              <w:lang w:val="en-AU" w:eastAsia="en-AU"/>
            </w:rPr>
          </w:pPr>
          <w:hyperlink w:anchor="_Toc131144731" w:history="1">
            <w:r w:rsidR="00BC349B" w:rsidRPr="002B6C02">
              <w:rPr>
                <w:rStyle w:val="Hyperlink"/>
                <w:rFonts w:ascii="Helvetica" w:hAnsi="Helvetica" w:cs="Helvetica"/>
              </w:rPr>
              <w:t>Class actions in Australia: An overview</w:t>
            </w:r>
            <w:r w:rsidR="00BC349B">
              <w:rPr>
                <w:webHidden/>
              </w:rPr>
              <w:tab/>
            </w:r>
            <w:r w:rsidR="00BC349B">
              <w:rPr>
                <w:webHidden/>
              </w:rPr>
              <w:fldChar w:fldCharType="begin"/>
            </w:r>
            <w:r w:rsidR="00BC349B">
              <w:rPr>
                <w:webHidden/>
              </w:rPr>
              <w:instrText xml:space="preserve"> PAGEREF _Toc131144731 \h </w:instrText>
            </w:r>
            <w:r w:rsidR="00BC349B">
              <w:rPr>
                <w:webHidden/>
              </w:rPr>
            </w:r>
            <w:r w:rsidR="00BC349B">
              <w:rPr>
                <w:webHidden/>
              </w:rPr>
              <w:fldChar w:fldCharType="separate"/>
            </w:r>
            <w:r w:rsidR="00BC349B">
              <w:rPr>
                <w:webHidden/>
              </w:rPr>
              <w:t>65</w:t>
            </w:r>
            <w:r w:rsidR="00BC349B">
              <w:rPr>
                <w:webHidden/>
              </w:rPr>
              <w:fldChar w:fldCharType="end"/>
            </w:r>
          </w:hyperlink>
        </w:p>
        <w:p w14:paraId="6BC36598" w14:textId="12400099" w:rsidR="00BC349B" w:rsidRDefault="00000000">
          <w:pPr>
            <w:pStyle w:val="TOC2"/>
            <w:rPr>
              <w:rFonts w:cstheme="minorBidi"/>
              <w:sz w:val="22"/>
              <w:szCs w:val="22"/>
              <w:lang w:val="en-AU" w:eastAsia="en-AU"/>
            </w:rPr>
          </w:pPr>
          <w:hyperlink w:anchor="_Toc131144732" w:history="1">
            <w:r w:rsidR="00BC349B" w:rsidRPr="002B6C02">
              <w:rPr>
                <w:rStyle w:val="Hyperlink"/>
                <w:rFonts w:ascii="Helvetica" w:hAnsi="Helvetica" w:cs="Helvetica"/>
              </w:rPr>
              <w:t>Key issues and trends in Australian class actions</w:t>
            </w:r>
            <w:r w:rsidR="00BC349B">
              <w:rPr>
                <w:webHidden/>
              </w:rPr>
              <w:tab/>
            </w:r>
            <w:r w:rsidR="00BC349B">
              <w:rPr>
                <w:webHidden/>
              </w:rPr>
              <w:fldChar w:fldCharType="begin"/>
            </w:r>
            <w:r w:rsidR="00BC349B">
              <w:rPr>
                <w:webHidden/>
              </w:rPr>
              <w:instrText xml:space="preserve"> PAGEREF _Toc131144732 \h </w:instrText>
            </w:r>
            <w:r w:rsidR="00BC349B">
              <w:rPr>
                <w:webHidden/>
              </w:rPr>
            </w:r>
            <w:r w:rsidR="00BC349B">
              <w:rPr>
                <w:webHidden/>
              </w:rPr>
              <w:fldChar w:fldCharType="separate"/>
            </w:r>
            <w:r w:rsidR="00BC349B">
              <w:rPr>
                <w:webHidden/>
              </w:rPr>
              <w:t>65</w:t>
            </w:r>
            <w:r w:rsidR="00BC349B">
              <w:rPr>
                <w:webHidden/>
              </w:rPr>
              <w:fldChar w:fldCharType="end"/>
            </w:r>
          </w:hyperlink>
        </w:p>
        <w:p w14:paraId="421D5821" w14:textId="54129A89" w:rsidR="00BC349B" w:rsidRDefault="00000000">
          <w:pPr>
            <w:pStyle w:val="TOC2"/>
            <w:rPr>
              <w:rFonts w:cstheme="minorBidi"/>
              <w:sz w:val="22"/>
              <w:szCs w:val="22"/>
              <w:lang w:val="en-AU" w:eastAsia="en-AU"/>
            </w:rPr>
          </w:pPr>
          <w:hyperlink w:anchor="_Toc131144733" w:history="1">
            <w:r w:rsidR="00BC349B" w:rsidRPr="002B6C02">
              <w:rPr>
                <w:rStyle w:val="Hyperlink"/>
                <w:rFonts w:ascii="Helvetica" w:eastAsiaTheme="majorEastAsia" w:hAnsi="Helvetica" w:cs="Helvetica"/>
                <w:caps/>
              </w:rPr>
              <w:t>JUMP TO</w:t>
            </w:r>
            <w:r w:rsidR="00BC349B">
              <w:rPr>
                <w:webHidden/>
              </w:rPr>
              <w:tab/>
            </w:r>
            <w:r w:rsidR="00BC349B">
              <w:rPr>
                <w:webHidden/>
              </w:rPr>
              <w:fldChar w:fldCharType="begin"/>
            </w:r>
            <w:r w:rsidR="00BC349B">
              <w:rPr>
                <w:webHidden/>
              </w:rPr>
              <w:instrText xml:space="preserve"> PAGEREF _Toc131144733 \h </w:instrText>
            </w:r>
            <w:r w:rsidR="00BC349B">
              <w:rPr>
                <w:webHidden/>
              </w:rPr>
            </w:r>
            <w:r w:rsidR="00BC349B">
              <w:rPr>
                <w:webHidden/>
              </w:rPr>
              <w:fldChar w:fldCharType="separate"/>
            </w:r>
            <w:r w:rsidR="00BC349B">
              <w:rPr>
                <w:webHidden/>
              </w:rPr>
              <w:t>66</w:t>
            </w:r>
            <w:r w:rsidR="00BC349B">
              <w:rPr>
                <w:webHidden/>
              </w:rPr>
              <w:fldChar w:fldCharType="end"/>
            </w:r>
          </w:hyperlink>
        </w:p>
        <w:p w14:paraId="7ACAB0A4" w14:textId="10B2056E" w:rsidR="00BC349B" w:rsidRDefault="00000000">
          <w:pPr>
            <w:pStyle w:val="TOC4"/>
            <w:tabs>
              <w:tab w:val="right" w:leader="dot" w:pos="9200"/>
            </w:tabs>
            <w:rPr>
              <w:rFonts w:asciiTheme="minorHAnsi" w:eastAsiaTheme="minorEastAsia" w:hAnsiTheme="minorHAnsi"/>
              <w:noProof/>
              <w:sz w:val="22"/>
              <w:lang w:eastAsia="en-AU"/>
            </w:rPr>
          </w:pPr>
          <w:hyperlink w:anchor="_Toc131144734" w:history="1">
            <w:r w:rsidR="00BC349B" w:rsidRPr="002B6C02">
              <w:rPr>
                <w:rStyle w:val="Hyperlink"/>
                <w:rFonts w:ascii="Helvetica" w:hAnsi="Helvetica" w:cs="Helvetica"/>
                <w:bCs/>
                <w:noProof/>
              </w:rPr>
              <w:t>The Australian class action regime</w:t>
            </w:r>
            <w:r w:rsidR="00BC349B">
              <w:rPr>
                <w:noProof/>
                <w:webHidden/>
              </w:rPr>
              <w:tab/>
            </w:r>
            <w:r w:rsidR="00BC349B">
              <w:rPr>
                <w:noProof/>
                <w:webHidden/>
              </w:rPr>
              <w:fldChar w:fldCharType="begin"/>
            </w:r>
            <w:r w:rsidR="00BC349B">
              <w:rPr>
                <w:noProof/>
                <w:webHidden/>
              </w:rPr>
              <w:instrText xml:space="preserve"> PAGEREF _Toc131144734 \h </w:instrText>
            </w:r>
            <w:r w:rsidR="00BC349B">
              <w:rPr>
                <w:noProof/>
                <w:webHidden/>
              </w:rPr>
            </w:r>
            <w:r w:rsidR="00BC349B">
              <w:rPr>
                <w:noProof/>
                <w:webHidden/>
              </w:rPr>
              <w:fldChar w:fldCharType="separate"/>
            </w:r>
            <w:r w:rsidR="00BC349B">
              <w:rPr>
                <w:noProof/>
                <w:webHidden/>
              </w:rPr>
              <w:t>66</w:t>
            </w:r>
            <w:r w:rsidR="00BC349B">
              <w:rPr>
                <w:noProof/>
                <w:webHidden/>
              </w:rPr>
              <w:fldChar w:fldCharType="end"/>
            </w:r>
          </w:hyperlink>
        </w:p>
        <w:p w14:paraId="4CE78ECB" w14:textId="10B7FCE0" w:rsidR="00BC349B" w:rsidRDefault="00000000">
          <w:pPr>
            <w:pStyle w:val="TOC4"/>
            <w:tabs>
              <w:tab w:val="right" w:leader="dot" w:pos="9200"/>
            </w:tabs>
            <w:rPr>
              <w:rFonts w:asciiTheme="minorHAnsi" w:eastAsiaTheme="minorEastAsia" w:hAnsiTheme="minorHAnsi"/>
              <w:noProof/>
              <w:sz w:val="22"/>
              <w:lang w:eastAsia="en-AU"/>
            </w:rPr>
          </w:pPr>
          <w:hyperlink w:anchor="_Toc131144735" w:history="1">
            <w:r w:rsidR="00BC349B" w:rsidRPr="002B6C02">
              <w:rPr>
                <w:rStyle w:val="Hyperlink"/>
                <w:rFonts w:ascii="Helvetica" w:hAnsi="Helvetica" w:cs="Helvetica"/>
                <w:bCs/>
                <w:noProof/>
              </w:rPr>
              <w:t>How are the class actions regimes in Australia and the United States different?</w:t>
            </w:r>
            <w:r w:rsidR="00BC349B">
              <w:rPr>
                <w:noProof/>
                <w:webHidden/>
              </w:rPr>
              <w:tab/>
            </w:r>
            <w:r w:rsidR="00BC349B">
              <w:rPr>
                <w:noProof/>
                <w:webHidden/>
              </w:rPr>
              <w:fldChar w:fldCharType="begin"/>
            </w:r>
            <w:r w:rsidR="00BC349B">
              <w:rPr>
                <w:noProof/>
                <w:webHidden/>
              </w:rPr>
              <w:instrText xml:space="preserve"> PAGEREF _Toc131144735 \h </w:instrText>
            </w:r>
            <w:r w:rsidR="00BC349B">
              <w:rPr>
                <w:noProof/>
                <w:webHidden/>
              </w:rPr>
            </w:r>
            <w:r w:rsidR="00BC349B">
              <w:rPr>
                <w:noProof/>
                <w:webHidden/>
              </w:rPr>
              <w:fldChar w:fldCharType="separate"/>
            </w:r>
            <w:r w:rsidR="00BC349B">
              <w:rPr>
                <w:noProof/>
                <w:webHidden/>
              </w:rPr>
              <w:t>66</w:t>
            </w:r>
            <w:r w:rsidR="00BC349B">
              <w:rPr>
                <w:noProof/>
                <w:webHidden/>
              </w:rPr>
              <w:fldChar w:fldCharType="end"/>
            </w:r>
          </w:hyperlink>
        </w:p>
        <w:p w14:paraId="6A5DEE77" w14:textId="556F2C04" w:rsidR="00BC349B" w:rsidRDefault="00000000">
          <w:pPr>
            <w:pStyle w:val="TOC2"/>
            <w:rPr>
              <w:rFonts w:cstheme="minorBidi"/>
              <w:sz w:val="22"/>
              <w:szCs w:val="22"/>
              <w:lang w:val="en-AU" w:eastAsia="en-AU"/>
            </w:rPr>
          </w:pPr>
          <w:hyperlink w:anchor="_Toc131144736" w:history="1">
            <w:r w:rsidR="00BC349B" w:rsidRPr="002B6C02">
              <w:rPr>
                <w:rStyle w:val="Hyperlink"/>
                <w:rFonts w:ascii="inherit" w:hAnsi="inherit" w:cs="Open Sans"/>
              </w:rPr>
              <w:t>Initiating Proceedings</w:t>
            </w:r>
            <w:r w:rsidR="00BC349B">
              <w:rPr>
                <w:webHidden/>
              </w:rPr>
              <w:tab/>
            </w:r>
            <w:r w:rsidR="00BC349B">
              <w:rPr>
                <w:webHidden/>
              </w:rPr>
              <w:fldChar w:fldCharType="begin"/>
            </w:r>
            <w:r w:rsidR="00BC349B">
              <w:rPr>
                <w:webHidden/>
              </w:rPr>
              <w:instrText xml:space="preserve"> PAGEREF _Toc131144736 \h </w:instrText>
            </w:r>
            <w:r w:rsidR="00BC349B">
              <w:rPr>
                <w:webHidden/>
              </w:rPr>
            </w:r>
            <w:r w:rsidR="00BC349B">
              <w:rPr>
                <w:webHidden/>
              </w:rPr>
              <w:fldChar w:fldCharType="separate"/>
            </w:r>
            <w:r w:rsidR="00BC349B">
              <w:rPr>
                <w:webHidden/>
              </w:rPr>
              <w:t>67</w:t>
            </w:r>
            <w:r w:rsidR="00BC349B">
              <w:rPr>
                <w:webHidden/>
              </w:rPr>
              <w:fldChar w:fldCharType="end"/>
            </w:r>
          </w:hyperlink>
        </w:p>
        <w:p w14:paraId="30923A93" w14:textId="6DDD335C" w:rsidR="00BC349B" w:rsidRDefault="00000000">
          <w:pPr>
            <w:pStyle w:val="TOC3"/>
            <w:rPr>
              <w:rFonts w:asciiTheme="minorHAnsi" w:eastAsiaTheme="minorEastAsia" w:hAnsiTheme="minorHAnsi" w:cstheme="minorBidi"/>
              <w:b w:val="0"/>
              <w:bCs w:val="0"/>
              <w:sz w:val="22"/>
            </w:rPr>
          </w:pPr>
          <w:hyperlink w:anchor="_Toc131144737" w:history="1">
            <w:r w:rsidR="00BC349B" w:rsidRPr="002B6C02">
              <w:rPr>
                <w:rStyle w:val="Hyperlink"/>
                <w:rFonts w:ascii="Open Sans" w:hAnsi="Open Sans" w:cs="Open Sans"/>
              </w:rPr>
              <w:t>Who can bring a class action?</w:t>
            </w:r>
            <w:r w:rsidR="00BC349B">
              <w:rPr>
                <w:webHidden/>
              </w:rPr>
              <w:tab/>
            </w:r>
            <w:r w:rsidR="00BC349B">
              <w:rPr>
                <w:webHidden/>
              </w:rPr>
              <w:fldChar w:fldCharType="begin"/>
            </w:r>
            <w:r w:rsidR="00BC349B">
              <w:rPr>
                <w:webHidden/>
              </w:rPr>
              <w:instrText xml:space="preserve"> PAGEREF _Toc131144737 \h </w:instrText>
            </w:r>
            <w:r w:rsidR="00BC349B">
              <w:rPr>
                <w:webHidden/>
              </w:rPr>
            </w:r>
            <w:r w:rsidR="00BC349B">
              <w:rPr>
                <w:webHidden/>
              </w:rPr>
              <w:fldChar w:fldCharType="separate"/>
            </w:r>
            <w:r w:rsidR="00BC349B">
              <w:rPr>
                <w:webHidden/>
              </w:rPr>
              <w:t>67</w:t>
            </w:r>
            <w:r w:rsidR="00BC349B">
              <w:rPr>
                <w:webHidden/>
              </w:rPr>
              <w:fldChar w:fldCharType="end"/>
            </w:r>
          </w:hyperlink>
        </w:p>
        <w:p w14:paraId="74DDF017" w14:textId="081BC924" w:rsidR="00BC349B" w:rsidRDefault="00000000">
          <w:pPr>
            <w:pStyle w:val="TOC3"/>
            <w:rPr>
              <w:rFonts w:asciiTheme="minorHAnsi" w:eastAsiaTheme="minorEastAsia" w:hAnsiTheme="minorHAnsi" w:cstheme="minorBidi"/>
              <w:b w:val="0"/>
              <w:bCs w:val="0"/>
              <w:sz w:val="22"/>
            </w:rPr>
          </w:pPr>
          <w:hyperlink w:anchor="_Toc131144738" w:history="1">
            <w:r w:rsidR="00BC349B" w:rsidRPr="002B6C02">
              <w:rPr>
                <w:rStyle w:val="Hyperlink"/>
                <w:rFonts w:ascii="Open Sans" w:hAnsi="Open Sans" w:cs="Open Sans"/>
              </w:rPr>
              <w:t>In which courts may class actions be brought?</w:t>
            </w:r>
            <w:r w:rsidR="00BC349B">
              <w:rPr>
                <w:webHidden/>
              </w:rPr>
              <w:tab/>
            </w:r>
            <w:r w:rsidR="00BC349B">
              <w:rPr>
                <w:webHidden/>
              </w:rPr>
              <w:fldChar w:fldCharType="begin"/>
            </w:r>
            <w:r w:rsidR="00BC349B">
              <w:rPr>
                <w:webHidden/>
              </w:rPr>
              <w:instrText xml:space="preserve"> PAGEREF _Toc131144738 \h </w:instrText>
            </w:r>
            <w:r w:rsidR="00BC349B">
              <w:rPr>
                <w:webHidden/>
              </w:rPr>
            </w:r>
            <w:r w:rsidR="00BC349B">
              <w:rPr>
                <w:webHidden/>
              </w:rPr>
              <w:fldChar w:fldCharType="separate"/>
            </w:r>
            <w:r w:rsidR="00BC349B">
              <w:rPr>
                <w:webHidden/>
              </w:rPr>
              <w:t>68</w:t>
            </w:r>
            <w:r w:rsidR="00BC349B">
              <w:rPr>
                <w:webHidden/>
              </w:rPr>
              <w:fldChar w:fldCharType="end"/>
            </w:r>
          </w:hyperlink>
        </w:p>
        <w:p w14:paraId="0150A8A2" w14:textId="772491A5" w:rsidR="00BC349B" w:rsidRDefault="00000000">
          <w:pPr>
            <w:pStyle w:val="TOC3"/>
            <w:rPr>
              <w:rFonts w:asciiTheme="minorHAnsi" w:eastAsiaTheme="minorEastAsia" w:hAnsiTheme="minorHAnsi" w:cstheme="minorBidi"/>
              <w:b w:val="0"/>
              <w:bCs w:val="0"/>
              <w:sz w:val="22"/>
            </w:rPr>
          </w:pPr>
          <w:hyperlink w:anchor="_Toc131144739" w:history="1">
            <w:r w:rsidR="00BC349B" w:rsidRPr="002B6C02">
              <w:rPr>
                <w:rStyle w:val="Hyperlink"/>
                <w:rFonts w:ascii="Open Sans" w:hAnsi="Open Sans" w:cs="Open Sans"/>
              </w:rPr>
              <w:t>How is a class action initiated?</w:t>
            </w:r>
            <w:r w:rsidR="00BC349B">
              <w:rPr>
                <w:webHidden/>
              </w:rPr>
              <w:tab/>
            </w:r>
            <w:r w:rsidR="00BC349B">
              <w:rPr>
                <w:webHidden/>
              </w:rPr>
              <w:fldChar w:fldCharType="begin"/>
            </w:r>
            <w:r w:rsidR="00BC349B">
              <w:rPr>
                <w:webHidden/>
              </w:rPr>
              <w:instrText xml:space="preserve"> PAGEREF _Toc131144739 \h </w:instrText>
            </w:r>
            <w:r w:rsidR="00BC349B">
              <w:rPr>
                <w:webHidden/>
              </w:rPr>
            </w:r>
            <w:r w:rsidR="00BC349B">
              <w:rPr>
                <w:webHidden/>
              </w:rPr>
              <w:fldChar w:fldCharType="separate"/>
            </w:r>
            <w:r w:rsidR="00BC349B">
              <w:rPr>
                <w:webHidden/>
              </w:rPr>
              <w:t>68</w:t>
            </w:r>
            <w:r w:rsidR="00BC349B">
              <w:rPr>
                <w:webHidden/>
              </w:rPr>
              <w:fldChar w:fldCharType="end"/>
            </w:r>
          </w:hyperlink>
        </w:p>
        <w:p w14:paraId="0E61EF26" w14:textId="49D57765" w:rsidR="00BC349B" w:rsidRDefault="00000000">
          <w:pPr>
            <w:pStyle w:val="TOC3"/>
            <w:rPr>
              <w:rFonts w:asciiTheme="minorHAnsi" w:eastAsiaTheme="minorEastAsia" w:hAnsiTheme="minorHAnsi" w:cstheme="minorBidi"/>
              <w:b w:val="0"/>
              <w:bCs w:val="0"/>
              <w:sz w:val="22"/>
            </w:rPr>
          </w:pPr>
          <w:hyperlink w:anchor="_Toc131144740" w:history="1">
            <w:r w:rsidR="00BC349B" w:rsidRPr="002B6C02">
              <w:rPr>
                <w:rStyle w:val="Hyperlink"/>
                <w:rFonts w:ascii="Open Sans" w:hAnsi="Open Sans" w:cs="Open Sans"/>
              </w:rPr>
              <w:t>Are there certification requirements? What are the threshold criteria?</w:t>
            </w:r>
            <w:r w:rsidR="00BC349B">
              <w:rPr>
                <w:webHidden/>
              </w:rPr>
              <w:tab/>
            </w:r>
            <w:r w:rsidR="00BC349B">
              <w:rPr>
                <w:webHidden/>
              </w:rPr>
              <w:fldChar w:fldCharType="begin"/>
            </w:r>
            <w:r w:rsidR="00BC349B">
              <w:rPr>
                <w:webHidden/>
              </w:rPr>
              <w:instrText xml:space="preserve"> PAGEREF _Toc131144740 \h </w:instrText>
            </w:r>
            <w:r w:rsidR="00BC349B">
              <w:rPr>
                <w:webHidden/>
              </w:rPr>
            </w:r>
            <w:r w:rsidR="00BC349B">
              <w:rPr>
                <w:webHidden/>
              </w:rPr>
              <w:fldChar w:fldCharType="separate"/>
            </w:r>
            <w:r w:rsidR="00BC349B">
              <w:rPr>
                <w:webHidden/>
              </w:rPr>
              <w:t>68</w:t>
            </w:r>
            <w:r w:rsidR="00BC349B">
              <w:rPr>
                <w:webHidden/>
              </w:rPr>
              <w:fldChar w:fldCharType="end"/>
            </w:r>
          </w:hyperlink>
        </w:p>
        <w:p w14:paraId="5E20434B" w14:textId="75B35361" w:rsidR="00BC349B" w:rsidRDefault="00000000">
          <w:pPr>
            <w:pStyle w:val="TOC3"/>
            <w:rPr>
              <w:rFonts w:asciiTheme="minorHAnsi" w:eastAsiaTheme="minorEastAsia" w:hAnsiTheme="minorHAnsi" w:cstheme="minorBidi"/>
              <w:b w:val="0"/>
              <w:bCs w:val="0"/>
              <w:sz w:val="22"/>
            </w:rPr>
          </w:pPr>
          <w:hyperlink w:anchor="_Toc131144741" w:history="1">
            <w:r w:rsidR="00BC349B" w:rsidRPr="002B6C02">
              <w:rPr>
                <w:rStyle w:val="Hyperlink"/>
                <w:rFonts w:ascii="Open Sans" w:hAnsi="Open Sans" w:cs="Open Sans"/>
              </w:rPr>
              <w:t>What is the limitation period for bringing a class action? Can it be paused?</w:t>
            </w:r>
            <w:r w:rsidR="00BC349B">
              <w:rPr>
                <w:webHidden/>
              </w:rPr>
              <w:tab/>
            </w:r>
            <w:r w:rsidR="00BC349B">
              <w:rPr>
                <w:webHidden/>
              </w:rPr>
              <w:fldChar w:fldCharType="begin"/>
            </w:r>
            <w:r w:rsidR="00BC349B">
              <w:rPr>
                <w:webHidden/>
              </w:rPr>
              <w:instrText xml:space="preserve"> PAGEREF _Toc131144741 \h </w:instrText>
            </w:r>
            <w:r w:rsidR="00BC349B">
              <w:rPr>
                <w:webHidden/>
              </w:rPr>
            </w:r>
            <w:r w:rsidR="00BC349B">
              <w:rPr>
                <w:webHidden/>
              </w:rPr>
              <w:fldChar w:fldCharType="separate"/>
            </w:r>
            <w:r w:rsidR="00BC349B">
              <w:rPr>
                <w:webHidden/>
              </w:rPr>
              <w:t>68</w:t>
            </w:r>
            <w:r w:rsidR="00BC349B">
              <w:rPr>
                <w:webHidden/>
              </w:rPr>
              <w:fldChar w:fldCharType="end"/>
            </w:r>
          </w:hyperlink>
        </w:p>
        <w:p w14:paraId="16C28C52" w14:textId="4209B8F1" w:rsidR="00BC349B" w:rsidRDefault="00000000">
          <w:pPr>
            <w:pStyle w:val="TOC2"/>
            <w:rPr>
              <w:rFonts w:cstheme="minorBidi"/>
              <w:sz w:val="22"/>
              <w:szCs w:val="22"/>
              <w:lang w:val="en-AU" w:eastAsia="en-AU"/>
            </w:rPr>
          </w:pPr>
          <w:hyperlink w:anchor="_Toc131144742" w:history="1">
            <w:r w:rsidR="00BC349B" w:rsidRPr="002B6C02">
              <w:rPr>
                <w:rStyle w:val="Hyperlink"/>
                <w:rFonts w:ascii="inherit" w:hAnsi="inherit" w:cs="Open Sans"/>
              </w:rPr>
              <w:t>The Class</w:t>
            </w:r>
            <w:r w:rsidR="00BC349B">
              <w:rPr>
                <w:webHidden/>
              </w:rPr>
              <w:tab/>
            </w:r>
            <w:r w:rsidR="00BC349B">
              <w:rPr>
                <w:webHidden/>
              </w:rPr>
              <w:fldChar w:fldCharType="begin"/>
            </w:r>
            <w:r w:rsidR="00BC349B">
              <w:rPr>
                <w:webHidden/>
              </w:rPr>
              <w:instrText xml:space="preserve"> PAGEREF _Toc131144742 \h </w:instrText>
            </w:r>
            <w:r w:rsidR="00BC349B">
              <w:rPr>
                <w:webHidden/>
              </w:rPr>
            </w:r>
            <w:r w:rsidR="00BC349B">
              <w:rPr>
                <w:webHidden/>
              </w:rPr>
              <w:fldChar w:fldCharType="separate"/>
            </w:r>
            <w:r w:rsidR="00BC349B">
              <w:rPr>
                <w:webHidden/>
              </w:rPr>
              <w:t>69</w:t>
            </w:r>
            <w:r w:rsidR="00BC349B">
              <w:rPr>
                <w:webHidden/>
              </w:rPr>
              <w:fldChar w:fldCharType="end"/>
            </w:r>
          </w:hyperlink>
        </w:p>
        <w:p w14:paraId="408DEF85" w14:textId="1153669F" w:rsidR="00BC349B" w:rsidRDefault="00000000">
          <w:pPr>
            <w:pStyle w:val="TOC3"/>
            <w:rPr>
              <w:rFonts w:asciiTheme="minorHAnsi" w:eastAsiaTheme="minorEastAsia" w:hAnsiTheme="minorHAnsi" w:cstheme="minorBidi"/>
              <w:b w:val="0"/>
              <w:bCs w:val="0"/>
              <w:sz w:val="22"/>
            </w:rPr>
          </w:pPr>
          <w:hyperlink w:anchor="_Toc131144743" w:history="1">
            <w:r w:rsidR="00BC349B" w:rsidRPr="002B6C02">
              <w:rPr>
                <w:rStyle w:val="Hyperlink"/>
                <w:rFonts w:ascii="Open Sans" w:hAnsi="Open Sans" w:cs="Open Sans"/>
              </w:rPr>
              <w:t>Class membership</w:t>
            </w:r>
            <w:r w:rsidR="00BC349B">
              <w:rPr>
                <w:webHidden/>
              </w:rPr>
              <w:tab/>
            </w:r>
            <w:r w:rsidR="00BC349B">
              <w:rPr>
                <w:webHidden/>
              </w:rPr>
              <w:fldChar w:fldCharType="begin"/>
            </w:r>
            <w:r w:rsidR="00BC349B">
              <w:rPr>
                <w:webHidden/>
              </w:rPr>
              <w:instrText xml:space="preserve"> PAGEREF _Toc131144743 \h </w:instrText>
            </w:r>
            <w:r w:rsidR="00BC349B">
              <w:rPr>
                <w:webHidden/>
              </w:rPr>
            </w:r>
            <w:r w:rsidR="00BC349B">
              <w:rPr>
                <w:webHidden/>
              </w:rPr>
              <w:fldChar w:fldCharType="separate"/>
            </w:r>
            <w:r w:rsidR="00BC349B">
              <w:rPr>
                <w:webHidden/>
              </w:rPr>
              <w:t>69</w:t>
            </w:r>
            <w:r w:rsidR="00BC349B">
              <w:rPr>
                <w:webHidden/>
              </w:rPr>
              <w:fldChar w:fldCharType="end"/>
            </w:r>
          </w:hyperlink>
        </w:p>
        <w:p w14:paraId="202A90F8" w14:textId="2A9B51EB" w:rsidR="00BC349B" w:rsidRDefault="00000000">
          <w:pPr>
            <w:pStyle w:val="TOC3"/>
            <w:rPr>
              <w:rFonts w:asciiTheme="minorHAnsi" w:eastAsiaTheme="minorEastAsia" w:hAnsiTheme="minorHAnsi" w:cstheme="minorBidi"/>
              <w:b w:val="0"/>
              <w:bCs w:val="0"/>
              <w:sz w:val="22"/>
            </w:rPr>
          </w:pPr>
          <w:hyperlink w:anchor="_Toc131144744" w:history="1">
            <w:r w:rsidR="00BC349B" w:rsidRPr="002B6C02">
              <w:rPr>
                <w:rStyle w:val="Hyperlink"/>
                <w:rFonts w:ascii="Open Sans" w:hAnsi="Open Sans" w:cs="Open Sans"/>
              </w:rPr>
              <w:t>Notice requirements</w:t>
            </w:r>
            <w:r w:rsidR="00BC349B">
              <w:rPr>
                <w:webHidden/>
              </w:rPr>
              <w:tab/>
            </w:r>
            <w:r w:rsidR="00BC349B">
              <w:rPr>
                <w:webHidden/>
              </w:rPr>
              <w:fldChar w:fldCharType="begin"/>
            </w:r>
            <w:r w:rsidR="00BC349B">
              <w:rPr>
                <w:webHidden/>
              </w:rPr>
              <w:instrText xml:space="preserve"> PAGEREF _Toc131144744 \h </w:instrText>
            </w:r>
            <w:r w:rsidR="00BC349B">
              <w:rPr>
                <w:webHidden/>
              </w:rPr>
            </w:r>
            <w:r w:rsidR="00BC349B">
              <w:rPr>
                <w:webHidden/>
              </w:rPr>
              <w:fldChar w:fldCharType="separate"/>
            </w:r>
            <w:r w:rsidR="00BC349B">
              <w:rPr>
                <w:webHidden/>
              </w:rPr>
              <w:t>69</w:t>
            </w:r>
            <w:r w:rsidR="00BC349B">
              <w:rPr>
                <w:webHidden/>
              </w:rPr>
              <w:fldChar w:fldCharType="end"/>
            </w:r>
          </w:hyperlink>
        </w:p>
        <w:p w14:paraId="1C0830CB" w14:textId="2B46B580" w:rsidR="00BC349B" w:rsidRDefault="00000000">
          <w:pPr>
            <w:pStyle w:val="TOC3"/>
            <w:rPr>
              <w:rFonts w:asciiTheme="minorHAnsi" w:eastAsiaTheme="minorEastAsia" w:hAnsiTheme="minorHAnsi" w:cstheme="minorBidi"/>
              <w:b w:val="0"/>
              <w:bCs w:val="0"/>
              <w:sz w:val="22"/>
            </w:rPr>
          </w:pPr>
          <w:hyperlink w:anchor="_Toc131144745" w:history="1">
            <w:r w:rsidR="00BC349B" w:rsidRPr="002B6C02">
              <w:rPr>
                <w:rStyle w:val="Hyperlink"/>
                <w:rFonts w:ascii="Open Sans" w:hAnsi="Open Sans" w:cs="Open Sans"/>
              </w:rPr>
              <w:t>Opt out</w:t>
            </w:r>
            <w:r w:rsidR="00BC349B">
              <w:rPr>
                <w:webHidden/>
              </w:rPr>
              <w:tab/>
            </w:r>
            <w:r w:rsidR="00BC349B">
              <w:rPr>
                <w:webHidden/>
              </w:rPr>
              <w:fldChar w:fldCharType="begin"/>
            </w:r>
            <w:r w:rsidR="00BC349B">
              <w:rPr>
                <w:webHidden/>
              </w:rPr>
              <w:instrText xml:space="preserve"> PAGEREF _Toc131144745 \h </w:instrText>
            </w:r>
            <w:r w:rsidR="00BC349B">
              <w:rPr>
                <w:webHidden/>
              </w:rPr>
            </w:r>
            <w:r w:rsidR="00BC349B">
              <w:rPr>
                <w:webHidden/>
              </w:rPr>
              <w:fldChar w:fldCharType="separate"/>
            </w:r>
            <w:r w:rsidR="00BC349B">
              <w:rPr>
                <w:webHidden/>
              </w:rPr>
              <w:t>69</w:t>
            </w:r>
            <w:r w:rsidR="00BC349B">
              <w:rPr>
                <w:webHidden/>
              </w:rPr>
              <w:fldChar w:fldCharType="end"/>
            </w:r>
          </w:hyperlink>
        </w:p>
        <w:p w14:paraId="0144A627" w14:textId="6B26D8EB" w:rsidR="00BC349B" w:rsidRDefault="00000000">
          <w:pPr>
            <w:pStyle w:val="TOC3"/>
            <w:rPr>
              <w:rFonts w:asciiTheme="minorHAnsi" w:eastAsiaTheme="minorEastAsia" w:hAnsiTheme="minorHAnsi" w:cstheme="minorBidi"/>
              <w:b w:val="0"/>
              <w:bCs w:val="0"/>
              <w:sz w:val="22"/>
            </w:rPr>
          </w:pPr>
          <w:hyperlink w:anchor="_Toc131144746" w:history="1">
            <w:r w:rsidR="00BC349B" w:rsidRPr="002B6C02">
              <w:rPr>
                <w:rStyle w:val="Hyperlink"/>
                <w:rFonts w:ascii="Open Sans" w:hAnsi="Open Sans" w:cs="Open Sans"/>
              </w:rPr>
              <w:t>If people opt out, can they start their own proceedings?</w:t>
            </w:r>
            <w:r w:rsidR="00BC349B">
              <w:rPr>
                <w:webHidden/>
              </w:rPr>
              <w:tab/>
            </w:r>
            <w:r w:rsidR="00BC349B">
              <w:rPr>
                <w:webHidden/>
              </w:rPr>
              <w:fldChar w:fldCharType="begin"/>
            </w:r>
            <w:r w:rsidR="00BC349B">
              <w:rPr>
                <w:webHidden/>
              </w:rPr>
              <w:instrText xml:space="preserve"> PAGEREF _Toc131144746 \h </w:instrText>
            </w:r>
            <w:r w:rsidR="00BC349B">
              <w:rPr>
                <w:webHidden/>
              </w:rPr>
            </w:r>
            <w:r w:rsidR="00BC349B">
              <w:rPr>
                <w:webHidden/>
              </w:rPr>
              <w:fldChar w:fldCharType="separate"/>
            </w:r>
            <w:r w:rsidR="00BC349B">
              <w:rPr>
                <w:webHidden/>
              </w:rPr>
              <w:t>69</w:t>
            </w:r>
            <w:r w:rsidR="00BC349B">
              <w:rPr>
                <w:webHidden/>
              </w:rPr>
              <w:fldChar w:fldCharType="end"/>
            </w:r>
          </w:hyperlink>
        </w:p>
        <w:p w14:paraId="41A6E7CE" w14:textId="1B01E991" w:rsidR="00BC349B" w:rsidRDefault="00000000">
          <w:pPr>
            <w:pStyle w:val="TOC3"/>
            <w:rPr>
              <w:rFonts w:asciiTheme="minorHAnsi" w:eastAsiaTheme="minorEastAsia" w:hAnsiTheme="minorHAnsi" w:cstheme="minorBidi"/>
              <w:b w:val="0"/>
              <w:bCs w:val="0"/>
              <w:sz w:val="22"/>
            </w:rPr>
          </w:pPr>
          <w:hyperlink w:anchor="_Toc131144747" w:history="1">
            <w:r w:rsidR="00BC349B" w:rsidRPr="002B6C02">
              <w:rPr>
                <w:rStyle w:val="Hyperlink"/>
                <w:rFonts w:ascii="Open Sans" w:hAnsi="Open Sans" w:cs="Open Sans"/>
              </w:rPr>
              <w:t>How are competing and/ or overlapping class actions managed?</w:t>
            </w:r>
            <w:r w:rsidR="00BC349B">
              <w:rPr>
                <w:webHidden/>
              </w:rPr>
              <w:tab/>
            </w:r>
            <w:r w:rsidR="00BC349B">
              <w:rPr>
                <w:webHidden/>
              </w:rPr>
              <w:fldChar w:fldCharType="begin"/>
            </w:r>
            <w:r w:rsidR="00BC349B">
              <w:rPr>
                <w:webHidden/>
              </w:rPr>
              <w:instrText xml:space="preserve"> PAGEREF _Toc131144747 \h </w:instrText>
            </w:r>
            <w:r w:rsidR="00BC349B">
              <w:rPr>
                <w:webHidden/>
              </w:rPr>
            </w:r>
            <w:r w:rsidR="00BC349B">
              <w:rPr>
                <w:webHidden/>
              </w:rPr>
              <w:fldChar w:fldCharType="separate"/>
            </w:r>
            <w:r w:rsidR="00BC349B">
              <w:rPr>
                <w:webHidden/>
              </w:rPr>
              <w:t>70</w:t>
            </w:r>
            <w:r w:rsidR="00BC349B">
              <w:rPr>
                <w:webHidden/>
              </w:rPr>
              <w:fldChar w:fldCharType="end"/>
            </w:r>
          </w:hyperlink>
        </w:p>
        <w:p w14:paraId="3B17A82C" w14:textId="078D2F6C" w:rsidR="00BC349B" w:rsidRDefault="00000000">
          <w:pPr>
            <w:pStyle w:val="TOC2"/>
            <w:rPr>
              <w:rFonts w:cstheme="minorBidi"/>
              <w:sz w:val="22"/>
              <w:szCs w:val="22"/>
              <w:lang w:val="en-AU" w:eastAsia="en-AU"/>
            </w:rPr>
          </w:pPr>
          <w:hyperlink w:anchor="_Toc131144748" w:history="1">
            <w:r w:rsidR="00BC349B" w:rsidRPr="002B6C02">
              <w:rPr>
                <w:rStyle w:val="Hyperlink"/>
                <w:rFonts w:ascii="inherit" w:hAnsi="inherit" w:cs="Open Sans"/>
              </w:rPr>
              <w:t>Procedure</w:t>
            </w:r>
            <w:r w:rsidR="00BC349B">
              <w:rPr>
                <w:webHidden/>
              </w:rPr>
              <w:tab/>
            </w:r>
            <w:r w:rsidR="00BC349B">
              <w:rPr>
                <w:webHidden/>
              </w:rPr>
              <w:fldChar w:fldCharType="begin"/>
            </w:r>
            <w:r w:rsidR="00BC349B">
              <w:rPr>
                <w:webHidden/>
              </w:rPr>
              <w:instrText xml:space="preserve"> PAGEREF _Toc131144748 \h </w:instrText>
            </w:r>
            <w:r w:rsidR="00BC349B">
              <w:rPr>
                <w:webHidden/>
              </w:rPr>
            </w:r>
            <w:r w:rsidR="00BC349B">
              <w:rPr>
                <w:webHidden/>
              </w:rPr>
              <w:fldChar w:fldCharType="separate"/>
            </w:r>
            <w:r w:rsidR="00BC349B">
              <w:rPr>
                <w:webHidden/>
              </w:rPr>
              <w:t>70</w:t>
            </w:r>
            <w:r w:rsidR="00BC349B">
              <w:rPr>
                <w:webHidden/>
              </w:rPr>
              <w:fldChar w:fldCharType="end"/>
            </w:r>
          </w:hyperlink>
        </w:p>
        <w:p w14:paraId="159B793A" w14:textId="77A28597" w:rsidR="00BC349B" w:rsidRDefault="00000000">
          <w:pPr>
            <w:pStyle w:val="TOC3"/>
            <w:rPr>
              <w:rFonts w:asciiTheme="minorHAnsi" w:eastAsiaTheme="minorEastAsia" w:hAnsiTheme="minorHAnsi" w:cstheme="minorBidi"/>
              <w:b w:val="0"/>
              <w:bCs w:val="0"/>
              <w:sz w:val="22"/>
            </w:rPr>
          </w:pPr>
          <w:hyperlink w:anchor="_Toc131144749" w:history="1">
            <w:r w:rsidR="00BC349B" w:rsidRPr="002B6C02">
              <w:rPr>
                <w:rStyle w:val="Hyperlink"/>
                <w:rFonts w:ascii="Open Sans" w:hAnsi="Open Sans" w:cs="Open Sans"/>
              </w:rPr>
              <w:t>What happens after a class action is commenced?</w:t>
            </w:r>
            <w:r w:rsidR="00BC349B">
              <w:rPr>
                <w:webHidden/>
              </w:rPr>
              <w:tab/>
            </w:r>
            <w:r w:rsidR="00BC349B">
              <w:rPr>
                <w:webHidden/>
              </w:rPr>
              <w:fldChar w:fldCharType="begin"/>
            </w:r>
            <w:r w:rsidR="00BC349B">
              <w:rPr>
                <w:webHidden/>
              </w:rPr>
              <w:instrText xml:space="preserve"> PAGEREF _Toc131144749 \h </w:instrText>
            </w:r>
            <w:r w:rsidR="00BC349B">
              <w:rPr>
                <w:webHidden/>
              </w:rPr>
            </w:r>
            <w:r w:rsidR="00BC349B">
              <w:rPr>
                <w:webHidden/>
              </w:rPr>
              <w:fldChar w:fldCharType="separate"/>
            </w:r>
            <w:r w:rsidR="00BC349B">
              <w:rPr>
                <w:webHidden/>
              </w:rPr>
              <w:t>70</w:t>
            </w:r>
            <w:r w:rsidR="00BC349B">
              <w:rPr>
                <w:webHidden/>
              </w:rPr>
              <w:fldChar w:fldCharType="end"/>
            </w:r>
          </w:hyperlink>
        </w:p>
        <w:p w14:paraId="0886665D" w14:textId="6487343B" w:rsidR="00BC349B" w:rsidRDefault="00000000">
          <w:pPr>
            <w:pStyle w:val="TOC3"/>
            <w:rPr>
              <w:rFonts w:asciiTheme="minorHAnsi" w:eastAsiaTheme="minorEastAsia" w:hAnsiTheme="minorHAnsi" w:cstheme="minorBidi"/>
              <w:b w:val="0"/>
              <w:bCs w:val="0"/>
              <w:sz w:val="22"/>
            </w:rPr>
          </w:pPr>
          <w:hyperlink w:anchor="_Toc131144750" w:history="1">
            <w:r w:rsidR="00BC349B" w:rsidRPr="002B6C02">
              <w:rPr>
                <w:rStyle w:val="Hyperlink"/>
                <w:rFonts w:ascii="Open Sans" w:hAnsi="Open Sans" w:cs="Open Sans"/>
              </w:rPr>
              <w:t>How is a class action defended?</w:t>
            </w:r>
            <w:r w:rsidR="00BC349B">
              <w:rPr>
                <w:webHidden/>
              </w:rPr>
              <w:tab/>
            </w:r>
            <w:r w:rsidR="00BC349B">
              <w:rPr>
                <w:webHidden/>
              </w:rPr>
              <w:fldChar w:fldCharType="begin"/>
            </w:r>
            <w:r w:rsidR="00BC349B">
              <w:rPr>
                <w:webHidden/>
              </w:rPr>
              <w:instrText xml:space="preserve"> PAGEREF _Toc131144750 \h </w:instrText>
            </w:r>
            <w:r w:rsidR="00BC349B">
              <w:rPr>
                <w:webHidden/>
              </w:rPr>
            </w:r>
            <w:r w:rsidR="00BC349B">
              <w:rPr>
                <w:webHidden/>
              </w:rPr>
              <w:fldChar w:fldCharType="separate"/>
            </w:r>
            <w:r w:rsidR="00BC349B">
              <w:rPr>
                <w:webHidden/>
              </w:rPr>
              <w:t>70</w:t>
            </w:r>
            <w:r w:rsidR="00BC349B">
              <w:rPr>
                <w:webHidden/>
              </w:rPr>
              <w:fldChar w:fldCharType="end"/>
            </w:r>
          </w:hyperlink>
        </w:p>
        <w:p w14:paraId="2711AB6B" w14:textId="36460A8B" w:rsidR="00BC349B" w:rsidRDefault="00000000">
          <w:pPr>
            <w:pStyle w:val="TOC3"/>
            <w:rPr>
              <w:rFonts w:asciiTheme="minorHAnsi" w:eastAsiaTheme="minorEastAsia" w:hAnsiTheme="minorHAnsi" w:cstheme="minorBidi"/>
              <w:b w:val="0"/>
              <w:bCs w:val="0"/>
              <w:sz w:val="22"/>
            </w:rPr>
          </w:pPr>
          <w:hyperlink w:anchor="_Toc131144751" w:history="1">
            <w:r w:rsidR="00BC349B" w:rsidRPr="002B6C02">
              <w:rPr>
                <w:rStyle w:val="Hyperlink"/>
                <w:rFonts w:ascii="Open Sans" w:hAnsi="Open Sans" w:cs="Open Sans"/>
              </w:rPr>
              <w:t>How are class actions managed?</w:t>
            </w:r>
            <w:r w:rsidR="00BC349B">
              <w:rPr>
                <w:webHidden/>
              </w:rPr>
              <w:tab/>
            </w:r>
            <w:r w:rsidR="00BC349B">
              <w:rPr>
                <w:webHidden/>
              </w:rPr>
              <w:fldChar w:fldCharType="begin"/>
            </w:r>
            <w:r w:rsidR="00BC349B">
              <w:rPr>
                <w:webHidden/>
              </w:rPr>
              <w:instrText xml:space="preserve"> PAGEREF _Toc131144751 \h </w:instrText>
            </w:r>
            <w:r w:rsidR="00BC349B">
              <w:rPr>
                <w:webHidden/>
              </w:rPr>
            </w:r>
            <w:r w:rsidR="00BC349B">
              <w:rPr>
                <w:webHidden/>
              </w:rPr>
              <w:fldChar w:fldCharType="separate"/>
            </w:r>
            <w:r w:rsidR="00BC349B">
              <w:rPr>
                <w:webHidden/>
              </w:rPr>
              <w:t>70</w:t>
            </w:r>
            <w:r w:rsidR="00BC349B">
              <w:rPr>
                <w:webHidden/>
              </w:rPr>
              <w:fldChar w:fldCharType="end"/>
            </w:r>
          </w:hyperlink>
        </w:p>
        <w:p w14:paraId="6BE9F319" w14:textId="3AE94EB0" w:rsidR="00BC349B" w:rsidRDefault="00000000">
          <w:pPr>
            <w:pStyle w:val="TOC3"/>
            <w:rPr>
              <w:rFonts w:asciiTheme="minorHAnsi" w:eastAsiaTheme="minorEastAsia" w:hAnsiTheme="minorHAnsi" w:cstheme="minorBidi"/>
              <w:b w:val="0"/>
              <w:bCs w:val="0"/>
              <w:sz w:val="22"/>
            </w:rPr>
          </w:pPr>
          <w:hyperlink w:anchor="_Toc131144752" w:history="1">
            <w:r w:rsidR="00BC349B" w:rsidRPr="002B6C02">
              <w:rPr>
                <w:rStyle w:val="Hyperlink"/>
                <w:rFonts w:ascii="Open Sans" w:hAnsi="Open Sans" w:cs="Open Sans"/>
              </w:rPr>
              <w:t>Common Questions and Trial</w:t>
            </w:r>
            <w:r w:rsidR="00BC349B">
              <w:rPr>
                <w:webHidden/>
              </w:rPr>
              <w:tab/>
            </w:r>
            <w:r w:rsidR="00BC349B">
              <w:rPr>
                <w:webHidden/>
              </w:rPr>
              <w:fldChar w:fldCharType="begin"/>
            </w:r>
            <w:r w:rsidR="00BC349B">
              <w:rPr>
                <w:webHidden/>
              </w:rPr>
              <w:instrText xml:space="preserve"> PAGEREF _Toc131144752 \h </w:instrText>
            </w:r>
            <w:r w:rsidR="00BC349B">
              <w:rPr>
                <w:webHidden/>
              </w:rPr>
            </w:r>
            <w:r w:rsidR="00BC349B">
              <w:rPr>
                <w:webHidden/>
              </w:rPr>
              <w:fldChar w:fldCharType="separate"/>
            </w:r>
            <w:r w:rsidR="00BC349B">
              <w:rPr>
                <w:webHidden/>
              </w:rPr>
              <w:t>71</w:t>
            </w:r>
            <w:r w:rsidR="00BC349B">
              <w:rPr>
                <w:webHidden/>
              </w:rPr>
              <w:fldChar w:fldCharType="end"/>
            </w:r>
          </w:hyperlink>
        </w:p>
        <w:p w14:paraId="091FEE03" w14:textId="7AD5CBC8" w:rsidR="00BC349B" w:rsidRDefault="00000000">
          <w:pPr>
            <w:pStyle w:val="TOC3"/>
            <w:rPr>
              <w:rFonts w:asciiTheme="minorHAnsi" w:eastAsiaTheme="minorEastAsia" w:hAnsiTheme="minorHAnsi" w:cstheme="minorBidi"/>
              <w:b w:val="0"/>
              <w:bCs w:val="0"/>
              <w:sz w:val="22"/>
            </w:rPr>
          </w:pPr>
          <w:hyperlink w:anchor="_Toc131144753" w:history="1">
            <w:r w:rsidR="00BC349B" w:rsidRPr="002B6C02">
              <w:rPr>
                <w:rStyle w:val="Hyperlink"/>
                <w:rFonts w:ascii="Open Sans" w:hAnsi="Open Sans" w:cs="Open Sans"/>
              </w:rPr>
              <w:t>How are non-common or individual issues dealt with?</w:t>
            </w:r>
            <w:r w:rsidR="00BC349B">
              <w:rPr>
                <w:webHidden/>
              </w:rPr>
              <w:tab/>
            </w:r>
            <w:r w:rsidR="00BC349B">
              <w:rPr>
                <w:webHidden/>
              </w:rPr>
              <w:fldChar w:fldCharType="begin"/>
            </w:r>
            <w:r w:rsidR="00BC349B">
              <w:rPr>
                <w:webHidden/>
              </w:rPr>
              <w:instrText xml:space="preserve"> PAGEREF _Toc131144753 \h </w:instrText>
            </w:r>
            <w:r w:rsidR="00BC349B">
              <w:rPr>
                <w:webHidden/>
              </w:rPr>
            </w:r>
            <w:r w:rsidR="00BC349B">
              <w:rPr>
                <w:webHidden/>
              </w:rPr>
              <w:fldChar w:fldCharType="separate"/>
            </w:r>
            <w:r w:rsidR="00BC349B">
              <w:rPr>
                <w:webHidden/>
              </w:rPr>
              <w:t>71</w:t>
            </w:r>
            <w:r w:rsidR="00BC349B">
              <w:rPr>
                <w:webHidden/>
              </w:rPr>
              <w:fldChar w:fldCharType="end"/>
            </w:r>
          </w:hyperlink>
        </w:p>
        <w:p w14:paraId="28FA9A2B" w14:textId="19F611D8" w:rsidR="00BC349B" w:rsidRDefault="00000000">
          <w:pPr>
            <w:pStyle w:val="TOC2"/>
            <w:rPr>
              <w:rFonts w:cstheme="minorBidi"/>
              <w:sz w:val="22"/>
              <w:szCs w:val="22"/>
              <w:lang w:val="en-AU" w:eastAsia="en-AU"/>
            </w:rPr>
          </w:pPr>
          <w:hyperlink w:anchor="_Toc131144754" w:history="1">
            <w:r w:rsidR="00BC349B" w:rsidRPr="002B6C02">
              <w:rPr>
                <w:rStyle w:val="Hyperlink"/>
                <w:rFonts w:ascii="inherit" w:hAnsi="inherit" w:cs="Open Sans"/>
              </w:rPr>
              <w:t>Settlement</w:t>
            </w:r>
            <w:r w:rsidR="00BC349B">
              <w:rPr>
                <w:webHidden/>
              </w:rPr>
              <w:tab/>
            </w:r>
            <w:r w:rsidR="00BC349B">
              <w:rPr>
                <w:webHidden/>
              </w:rPr>
              <w:fldChar w:fldCharType="begin"/>
            </w:r>
            <w:r w:rsidR="00BC349B">
              <w:rPr>
                <w:webHidden/>
              </w:rPr>
              <w:instrText xml:space="preserve"> PAGEREF _Toc131144754 \h </w:instrText>
            </w:r>
            <w:r w:rsidR="00BC349B">
              <w:rPr>
                <w:webHidden/>
              </w:rPr>
            </w:r>
            <w:r w:rsidR="00BC349B">
              <w:rPr>
                <w:webHidden/>
              </w:rPr>
              <w:fldChar w:fldCharType="separate"/>
            </w:r>
            <w:r w:rsidR="00BC349B">
              <w:rPr>
                <w:webHidden/>
              </w:rPr>
              <w:t>71</w:t>
            </w:r>
            <w:r w:rsidR="00BC349B">
              <w:rPr>
                <w:webHidden/>
              </w:rPr>
              <w:fldChar w:fldCharType="end"/>
            </w:r>
          </w:hyperlink>
        </w:p>
        <w:p w14:paraId="30F93C7D" w14:textId="6938002B" w:rsidR="00BC349B" w:rsidRDefault="00000000">
          <w:pPr>
            <w:pStyle w:val="TOC3"/>
            <w:rPr>
              <w:rFonts w:asciiTheme="minorHAnsi" w:eastAsiaTheme="minorEastAsia" w:hAnsiTheme="minorHAnsi" w:cstheme="minorBidi"/>
              <w:b w:val="0"/>
              <w:bCs w:val="0"/>
              <w:sz w:val="22"/>
            </w:rPr>
          </w:pPr>
          <w:hyperlink w:anchor="_Toc131144755" w:history="1">
            <w:r w:rsidR="00BC349B" w:rsidRPr="002B6C02">
              <w:rPr>
                <w:rStyle w:val="Hyperlink"/>
                <w:rFonts w:ascii="Open Sans" w:hAnsi="Open Sans" w:cs="Open Sans"/>
              </w:rPr>
              <w:t>Approval of class action settlement</w:t>
            </w:r>
            <w:r w:rsidR="00BC349B">
              <w:rPr>
                <w:webHidden/>
              </w:rPr>
              <w:tab/>
            </w:r>
            <w:r w:rsidR="00BC349B">
              <w:rPr>
                <w:webHidden/>
              </w:rPr>
              <w:fldChar w:fldCharType="begin"/>
            </w:r>
            <w:r w:rsidR="00BC349B">
              <w:rPr>
                <w:webHidden/>
              </w:rPr>
              <w:instrText xml:space="preserve"> PAGEREF _Toc131144755 \h </w:instrText>
            </w:r>
            <w:r w:rsidR="00BC349B">
              <w:rPr>
                <w:webHidden/>
              </w:rPr>
            </w:r>
            <w:r w:rsidR="00BC349B">
              <w:rPr>
                <w:webHidden/>
              </w:rPr>
              <w:fldChar w:fldCharType="separate"/>
            </w:r>
            <w:r w:rsidR="00BC349B">
              <w:rPr>
                <w:webHidden/>
              </w:rPr>
              <w:t>71</w:t>
            </w:r>
            <w:r w:rsidR="00BC349B">
              <w:rPr>
                <w:webHidden/>
              </w:rPr>
              <w:fldChar w:fldCharType="end"/>
            </w:r>
          </w:hyperlink>
        </w:p>
        <w:p w14:paraId="64924B38" w14:textId="4476F150" w:rsidR="00BC349B" w:rsidRDefault="00000000">
          <w:pPr>
            <w:pStyle w:val="TOC3"/>
            <w:rPr>
              <w:rFonts w:asciiTheme="minorHAnsi" w:eastAsiaTheme="minorEastAsia" w:hAnsiTheme="minorHAnsi" w:cstheme="minorBidi"/>
              <w:b w:val="0"/>
              <w:bCs w:val="0"/>
              <w:sz w:val="22"/>
            </w:rPr>
          </w:pPr>
          <w:hyperlink w:anchor="_Toc131144756" w:history="1">
            <w:r w:rsidR="00BC349B" w:rsidRPr="002B6C02">
              <w:rPr>
                <w:rStyle w:val="Hyperlink"/>
                <w:rFonts w:ascii="Open Sans" w:hAnsi="Open Sans" w:cs="Open Sans"/>
              </w:rPr>
              <w:t>Administration of settlement</w:t>
            </w:r>
            <w:r w:rsidR="00BC349B">
              <w:rPr>
                <w:webHidden/>
              </w:rPr>
              <w:tab/>
            </w:r>
            <w:r w:rsidR="00BC349B">
              <w:rPr>
                <w:webHidden/>
              </w:rPr>
              <w:fldChar w:fldCharType="begin"/>
            </w:r>
            <w:r w:rsidR="00BC349B">
              <w:rPr>
                <w:webHidden/>
              </w:rPr>
              <w:instrText xml:space="preserve"> PAGEREF _Toc131144756 \h </w:instrText>
            </w:r>
            <w:r w:rsidR="00BC349B">
              <w:rPr>
                <w:webHidden/>
              </w:rPr>
            </w:r>
            <w:r w:rsidR="00BC349B">
              <w:rPr>
                <w:webHidden/>
              </w:rPr>
              <w:fldChar w:fldCharType="separate"/>
            </w:r>
            <w:r w:rsidR="00BC349B">
              <w:rPr>
                <w:webHidden/>
              </w:rPr>
              <w:t>72</w:t>
            </w:r>
            <w:r w:rsidR="00BC349B">
              <w:rPr>
                <w:webHidden/>
              </w:rPr>
              <w:fldChar w:fldCharType="end"/>
            </w:r>
          </w:hyperlink>
        </w:p>
        <w:p w14:paraId="5B5C8BF1" w14:textId="04465B37" w:rsidR="00BC349B" w:rsidRDefault="00000000">
          <w:pPr>
            <w:pStyle w:val="TOC2"/>
            <w:rPr>
              <w:rFonts w:cstheme="minorBidi"/>
              <w:sz w:val="22"/>
              <w:szCs w:val="22"/>
              <w:lang w:val="en-AU" w:eastAsia="en-AU"/>
            </w:rPr>
          </w:pPr>
          <w:hyperlink w:anchor="_Toc131144757" w:history="1">
            <w:r w:rsidR="00BC349B" w:rsidRPr="002B6C02">
              <w:rPr>
                <w:rStyle w:val="Hyperlink"/>
                <w:rFonts w:ascii="inherit" w:hAnsi="inherit" w:cs="Open Sans"/>
              </w:rPr>
              <w:t>Judgment</w:t>
            </w:r>
            <w:r w:rsidR="00BC349B">
              <w:rPr>
                <w:webHidden/>
              </w:rPr>
              <w:tab/>
            </w:r>
            <w:r w:rsidR="00BC349B">
              <w:rPr>
                <w:webHidden/>
              </w:rPr>
              <w:fldChar w:fldCharType="begin"/>
            </w:r>
            <w:r w:rsidR="00BC349B">
              <w:rPr>
                <w:webHidden/>
              </w:rPr>
              <w:instrText xml:space="preserve"> PAGEREF _Toc131144757 \h </w:instrText>
            </w:r>
            <w:r w:rsidR="00BC349B">
              <w:rPr>
                <w:webHidden/>
              </w:rPr>
            </w:r>
            <w:r w:rsidR="00BC349B">
              <w:rPr>
                <w:webHidden/>
              </w:rPr>
              <w:fldChar w:fldCharType="separate"/>
            </w:r>
            <w:r w:rsidR="00BC349B">
              <w:rPr>
                <w:webHidden/>
              </w:rPr>
              <w:t>72</w:t>
            </w:r>
            <w:r w:rsidR="00BC349B">
              <w:rPr>
                <w:webHidden/>
              </w:rPr>
              <w:fldChar w:fldCharType="end"/>
            </w:r>
          </w:hyperlink>
        </w:p>
        <w:p w14:paraId="08718C46" w14:textId="3C4038F5" w:rsidR="00BC349B" w:rsidRDefault="00000000">
          <w:pPr>
            <w:pStyle w:val="TOC3"/>
            <w:rPr>
              <w:rFonts w:asciiTheme="minorHAnsi" w:eastAsiaTheme="minorEastAsia" w:hAnsiTheme="minorHAnsi" w:cstheme="minorBidi"/>
              <w:b w:val="0"/>
              <w:bCs w:val="0"/>
              <w:sz w:val="22"/>
            </w:rPr>
          </w:pPr>
          <w:hyperlink w:anchor="_Toc131144758" w:history="1">
            <w:r w:rsidR="00BC349B" w:rsidRPr="002B6C02">
              <w:rPr>
                <w:rStyle w:val="Hyperlink"/>
                <w:rFonts w:ascii="Open Sans" w:hAnsi="Open Sans" w:cs="Open Sans"/>
              </w:rPr>
              <w:t>What is the effect of judgment?</w:t>
            </w:r>
            <w:r w:rsidR="00BC349B">
              <w:rPr>
                <w:webHidden/>
              </w:rPr>
              <w:tab/>
            </w:r>
            <w:r w:rsidR="00BC349B">
              <w:rPr>
                <w:webHidden/>
              </w:rPr>
              <w:fldChar w:fldCharType="begin"/>
            </w:r>
            <w:r w:rsidR="00BC349B">
              <w:rPr>
                <w:webHidden/>
              </w:rPr>
              <w:instrText xml:space="preserve"> PAGEREF _Toc131144758 \h </w:instrText>
            </w:r>
            <w:r w:rsidR="00BC349B">
              <w:rPr>
                <w:webHidden/>
              </w:rPr>
            </w:r>
            <w:r w:rsidR="00BC349B">
              <w:rPr>
                <w:webHidden/>
              </w:rPr>
              <w:fldChar w:fldCharType="separate"/>
            </w:r>
            <w:r w:rsidR="00BC349B">
              <w:rPr>
                <w:webHidden/>
              </w:rPr>
              <w:t>72</w:t>
            </w:r>
            <w:r w:rsidR="00BC349B">
              <w:rPr>
                <w:webHidden/>
              </w:rPr>
              <w:fldChar w:fldCharType="end"/>
            </w:r>
          </w:hyperlink>
        </w:p>
        <w:p w14:paraId="071F063E" w14:textId="54C315A0" w:rsidR="00BC349B" w:rsidRDefault="00000000">
          <w:pPr>
            <w:pStyle w:val="TOC3"/>
            <w:rPr>
              <w:rFonts w:asciiTheme="minorHAnsi" w:eastAsiaTheme="minorEastAsia" w:hAnsiTheme="minorHAnsi" w:cstheme="minorBidi"/>
              <w:b w:val="0"/>
              <w:bCs w:val="0"/>
              <w:sz w:val="22"/>
            </w:rPr>
          </w:pPr>
          <w:hyperlink w:anchor="_Toc131144759" w:history="1">
            <w:r w:rsidR="00BC349B" w:rsidRPr="002B6C02">
              <w:rPr>
                <w:rStyle w:val="Hyperlink"/>
                <w:rFonts w:ascii="Open Sans" w:hAnsi="Open Sans" w:cs="Open Sans"/>
              </w:rPr>
              <w:t>What appeal rights exist (generally)?</w:t>
            </w:r>
            <w:r w:rsidR="00BC349B">
              <w:rPr>
                <w:webHidden/>
              </w:rPr>
              <w:tab/>
            </w:r>
            <w:r w:rsidR="00BC349B">
              <w:rPr>
                <w:webHidden/>
              </w:rPr>
              <w:fldChar w:fldCharType="begin"/>
            </w:r>
            <w:r w:rsidR="00BC349B">
              <w:rPr>
                <w:webHidden/>
              </w:rPr>
              <w:instrText xml:space="preserve"> PAGEREF _Toc131144759 \h </w:instrText>
            </w:r>
            <w:r w:rsidR="00BC349B">
              <w:rPr>
                <w:webHidden/>
              </w:rPr>
            </w:r>
            <w:r w:rsidR="00BC349B">
              <w:rPr>
                <w:webHidden/>
              </w:rPr>
              <w:fldChar w:fldCharType="separate"/>
            </w:r>
            <w:r w:rsidR="00BC349B">
              <w:rPr>
                <w:webHidden/>
              </w:rPr>
              <w:t>72</w:t>
            </w:r>
            <w:r w:rsidR="00BC349B">
              <w:rPr>
                <w:webHidden/>
              </w:rPr>
              <w:fldChar w:fldCharType="end"/>
            </w:r>
          </w:hyperlink>
        </w:p>
        <w:p w14:paraId="4C3F1D76" w14:textId="30541997" w:rsidR="00BC349B" w:rsidRDefault="00000000">
          <w:pPr>
            <w:pStyle w:val="TOC2"/>
            <w:rPr>
              <w:rFonts w:cstheme="minorBidi"/>
              <w:sz w:val="22"/>
              <w:szCs w:val="22"/>
              <w:lang w:val="en-AU" w:eastAsia="en-AU"/>
            </w:rPr>
          </w:pPr>
          <w:hyperlink w:anchor="_Toc131144760" w:history="1">
            <w:r w:rsidR="00BC349B" w:rsidRPr="002B6C02">
              <w:rPr>
                <w:rStyle w:val="Hyperlink"/>
                <w:rFonts w:ascii="inherit" w:hAnsi="inherit" w:cs="Open Sans"/>
              </w:rPr>
              <w:t>Litigation Funding and Costs Recovery</w:t>
            </w:r>
            <w:r w:rsidR="00BC349B">
              <w:rPr>
                <w:webHidden/>
              </w:rPr>
              <w:tab/>
            </w:r>
            <w:r w:rsidR="00BC349B">
              <w:rPr>
                <w:webHidden/>
              </w:rPr>
              <w:fldChar w:fldCharType="begin"/>
            </w:r>
            <w:r w:rsidR="00BC349B">
              <w:rPr>
                <w:webHidden/>
              </w:rPr>
              <w:instrText xml:space="preserve"> PAGEREF _Toc131144760 \h </w:instrText>
            </w:r>
            <w:r w:rsidR="00BC349B">
              <w:rPr>
                <w:webHidden/>
              </w:rPr>
            </w:r>
            <w:r w:rsidR="00BC349B">
              <w:rPr>
                <w:webHidden/>
              </w:rPr>
              <w:fldChar w:fldCharType="separate"/>
            </w:r>
            <w:r w:rsidR="00BC349B">
              <w:rPr>
                <w:webHidden/>
              </w:rPr>
              <w:t>73</w:t>
            </w:r>
            <w:r w:rsidR="00BC349B">
              <w:rPr>
                <w:webHidden/>
              </w:rPr>
              <w:fldChar w:fldCharType="end"/>
            </w:r>
          </w:hyperlink>
        </w:p>
        <w:p w14:paraId="2C5A26C3" w14:textId="681F8E4E" w:rsidR="00BC349B" w:rsidRDefault="00000000">
          <w:pPr>
            <w:pStyle w:val="TOC3"/>
            <w:rPr>
              <w:rFonts w:asciiTheme="minorHAnsi" w:eastAsiaTheme="minorEastAsia" w:hAnsiTheme="minorHAnsi" w:cstheme="minorBidi"/>
              <w:b w:val="0"/>
              <w:bCs w:val="0"/>
              <w:sz w:val="22"/>
            </w:rPr>
          </w:pPr>
          <w:hyperlink w:anchor="_Toc131144761" w:history="1">
            <w:r w:rsidR="00BC349B" w:rsidRPr="002B6C02">
              <w:rPr>
                <w:rStyle w:val="Hyperlink"/>
                <w:rFonts w:ascii="Open Sans" w:hAnsi="Open Sans" w:cs="Open Sans"/>
              </w:rPr>
              <w:t>Can a defendant obtain security for costs?</w:t>
            </w:r>
            <w:r w:rsidR="00BC349B">
              <w:rPr>
                <w:webHidden/>
              </w:rPr>
              <w:tab/>
            </w:r>
            <w:r w:rsidR="00BC349B">
              <w:rPr>
                <w:webHidden/>
              </w:rPr>
              <w:fldChar w:fldCharType="begin"/>
            </w:r>
            <w:r w:rsidR="00BC349B">
              <w:rPr>
                <w:webHidden/>
              </w:rPr>
              <w:instrText xml:space="preserve"> PAGEREF _Toc131144761 \h </w:instrText>
            </w:r>
            <w:r w:rsidR="00BC349B">
              <w:rPr>
                <w:webHidden/>
              </w:rPr>
            </w:r>
            <w:r w:rsidR="00BC349B">
              <w:rPr>
                <w:webHidden/>
              </w:rPr>
              <w:fldChar w:fldCharType="separate"/>
            </w:r>
            <w:r w:rsidR="00BC349B">
              <w:rPr>
                <w:webHidden/>
              </w:rPr>
              <w:t>73</w:t>
            </w:r>
            <w:r w:rsidR="00BC349B">
              <w:rPr>
                <w:webHidden/>
              </w:rPr>
              <w:fldChar w:fldCharType="end"/>
            </w:r>
          </w:hyperlink>
        </w:p>
        <w:p w14:paraId="198DDA16" w14:textId="1660ECA9" w:rsidR="00BC349B" w:rsidRDefault="00000000">
          <w:pPr>
            <w:pStyle w:val="TOC3"/>
            <w:rPr>
              <w:rFonts w:asciiTheme="minorHAnsi" w:eastAsiaTheme="minorEastAsia" w:hAnsiTheme="minorHAnsi" w:cstheme="minorBidi"/>
              <w:b w:val="0"/>
              <w:bCs w:val="0"/>
              <w:sz w:val="22"/>
            </w:rPr>
          </w:pPr>
          <w:hyperlink w:anchor="_Toc131144762" w:history="1">
            <w:r w:rsidR="00BC349B" w:rsidRPr="002B6C02">
              <w:rPr>
                <w:rStyle w:val="Hyperlink"/>
                <w:rFonts w:ascii="Open Sans" w:hAnsi="Open Sans" w:cs="Open Sans"/>
              </w:rPr>
              <w:t>Can the successful party recover its costs (class actions)?</w:t>
            </w:r>
            <w:r w:rsidR="00BC349B">
              <w:rPr>
                <w:webHidden/>
              </w:rPr>
              <w:tab/>
            </w:r>
            <w:r w:rsidR="00BC349B">
              <w:rPr>
                <w:webHidden/>
              </w:rPr>
              <w:fldChar w:fldCharType="begin"/>
            </w:r>
            <w:r w:rsidR="00BC349B">
              <w:rPr>
                <w:webHidden/>
              </w:rPr>
              <w:instrText xml:space="preserve"> PAGEREF _Toc131144762 \h </w:instrText>
            </w:r>
            <w:r w:rsidR="00BC349B">
              <w:rPr>
                <w:webHidden/>
              </w:rPr>
            </w:r>
            <w:r w:rsidR="00BC349B">
              <w:rPr>
                <w:webHidden/>
              </w:rPr>
              <w:fldChar w:fldCharType="separate"/>
            </w:r>
            <w:r w:rsidR="00BC349B">
              <w:rPr>
                <w:webHidden/>
              </w:rPr>
              <w:t>73</w:t>
            </w:r>
            <w:r w:rsidR="00BC349B">
              <w:rPr>
                <w:webHidden/>
              </w:rPr>
              <w:fldChar w:fldCharType="end"/>
            </w:r>
          </w:hyperlink>
        </w:p>
        <w:p w14:paraId="71F45043" w14:textId="525729C0" w:rsidR="00BC349B" w:rsidRDefault="00000000">
          <w:pPr>
            <w:pStyle w:val="TOC3"/>
            <w:rPr>
              <w:rFonts w:asciiTheme="minorHAnsi" w:eastAsiaTheme="minorEastAsia" w:hAnsiTheme="minorHAnsi" w:cstheme="minorBidi"/>
              <w:b w:val="0"/>
              <w:bCs w:val="0"/>
              <w:sz w:val="22"/>
            </w:rPr>
          </w:pPr>
          <w:hyperlink w:anchor="_Toc131144763" w:history="1">
            <w:r w:rsidR="00BC349B" w:rsidRPr="002B6C02">
              <w:rPr>
                <w:rStyle w:val="Hyperlink"/>
                <w:rFonts w:ascii="Open Sans" w:hAnsi="Open Sans" w:cs="Open Sans"/>
              </w:rPr>
              <w:t>What is the representative plaintiff’s liability? Do the group members need to contribute?</w:t>
            </w:r>
            <w:r w:rsidR="00BC349B">
              <w:rPr>
                <w:webHidden/>
              </w:rPr>
              <w:tab/>
            </w:r>
            <w:r w:rsidR="00BC349B">
              <w:rPr>
                <w:webHidden/>
              </w:rPr>
              <w:fldChar w:fldCharType="begin"/>
            </w:r>
            <w:r w:rsidR="00BC349B">
              <w:rPr>
                <w:webHidden/>
              </w:rPr>
              <w:instrText xml:space="preserve"> PAGEREF _Toc131144763 \h </w:instrText>
            </w:r>
            <w:r w:rsidR="00BC349B">
              <w:rPr>
                <w:webHidden/>
              </w:rPr>
            </w:r>
            <w:r w:rsidR="00BC349B">
              <w:rPr>
                <w:webHidden/>
              </w:rPr>
              <w:fldChar w:fldCharType="separate"/>
            </w:r>
            <w:r w:rsidR="00BC349B">
              <w:rPr>
                <w:webHidden/>
              </w:rPr>
              <w:t>73</w:t>
            </w:r>
            <w:r w:rsidR="00BC349B">
              <w:rPr>
                <w:webHidden/>
              </w:rPr>
              <w:fldChar w:fldCharType="end"/>
            </w:r>
          </w:hyperlink>
        </w:p>
        <w:p w14:paraId="44B8051D" w14:textId="3EFA963C" w:rsidR="00BC349B" w:rsidRDefault="00000000">
          <w:pPr>
            <w:pStyle w:val="TOC3"/>
            <w:rPr>
              <w:rFonts w:asciiTheme="minorHAnsi" w:eastAsiaTheme="minorEastAsia" w:hAnsiTheme="minorHAnsi" w:cstheme="minorBidi"/>
              <w:b w:val="0"/>
              <w:bCs w:val="0"/>
              <w:sz w:val="22"/>
            </w:rPr>
          </w:pPr>
          <w:hyperlink w:anchor="_Toc131144764" w:history="1">
            <w:r w:rsidR="00BC349B" w:rsidRPr="002B6C02">
              <w:rPr>
                <w:rStyle w:val="Hyperlink"/>
                <w:rFonts w:ascii="Open Sans" w:hAnsi="Open Sans" w:cs="Open Sans"/>
              </w:rPr>
              <w:t>How are costs calculated?</w:t>
            </w:r>
            <w:r w:rsidR="00BC349B">
              <w:rPr>
                <w:webHidden/>
              </w:rPr>
              <w:tab/>
            </w:r>
            <w:r w:rsidR="00BC349B">
              <w:rPr>
                <w:webHidden/>
              </w:rPr>
              <w:fldChar w:fldCharType="begin"/>
            </w:r>
            <w:r w:rsidR="00BC349B">
              <w:rPr>
                <w:webHidden/>
              </w:rPr>
              <w:instrText xml:space="preserve"> PAGEREF _Toc131144764 \h </w:instrText>
            </w:r>
            <w:r w:rsidR="00BC349B">
              <w:rPr>
                <w:webHidden/>
              </w:rPr>
            </w:r>
            <w:r w:rsidR="00BC349B">
              <w:rPr>
                <w:webHidden/>
              </w:rPr>
              <w:fldChar w:fldCharType="separate"/>
            </w:r>
            <w:r w:rsidR="00BC349B">
              <w:rPr>
                <w:webHidden/>
              </w:rPr>
              <w:t>74</w:t>
            </w:r>
            <w:r w:rsidR="00BC349B">
              <w:rPr>
                <w:webHidden/>
              </w:rPr>
              <w:fldChar w:fldCharType="end"/>
            </w:r>
          </w:hyperlink>
        </w:p>
        <w:p w14:paraId="62A8FD3A" w14:textId="0A57441A" w:rsidR="00BC349B" w:rsidRDefault="00000000">
          <w:pPr>
            <w:pStyle w:val="TOC3"/>
            <w:rPr>
              <w:rFonts w:asciiTheme="minorHAnsi" w:eastAsiaTheme="minorEastAsia" w:hAnsiTheme="minorHAnsi" w:cstheme="minorBidi"/>
              <w:b w:val="0"/>
              <w:bCs w:val="0"/>
              <w:sz w:val="22"/>
            </w:rPr>
          </w:pPr>
          <w:hyperlink w:anchor="_Toc131144765" w:history="1">
            <w:r w:rsidR="00BC349B" w:rsidRPr="002B6C02">
              <w:rPr>
                <w:rStyle w:val="Hyperlink"/>
                <w:rFonts w:ascii="Open Sans" w:hAnsi="Open Sans" w:cs="Open Sans"/>
              </w:rPr>
              <w:t>Third-party litigation funding</w:t>
            </w:r>
            <w:r w:rsidR="00BC349B">
              <w:rPr>
                <w:webHidden/>
              </w:rPr>
              <w:tab/>
            </w:r>
            <w:r w:rsidR="00BC349B">
              <w:rPr>
                <w:webHidden/>
              </w:rPr>
              <w:fldChar w:fldCharType="begin"/>
            </w:r>
            <w:r w:rsidR="00BC349B">
              <w:rPr>
                <w:webHidden/>
              </w:rPr>
              <w:instrText xml:space="preserve"> PAGEREF _Toc131144765 \h </w:instrText>
            </w:r>
            <w:r w:rsidR="00BC349B">
              <w:rPr>
                <w:webHidden/>
              </w:rPr>
            </w:r>
            <w:r w:rsidR="00BC349B">
              <w:rPr>
                <w:webHidden/>
              </w:rPr>
              <w:fldChar w:fldCharType="separate"/>
            </w:r>
            <w:r w:rsidR="00BC349B">
              <w:rPr>
                <w:webHidden/>
              </w:rPr>
              <w:t>74</w:t>
            </w:r>
            <w:r w:rsidR="00BC349B">
              <w:rPr>
                <w:webHidden/>
              </w:rPr>
              <w:fldChar w:fldCharType="end"/>
            </w:r>
          </w:hyperlink>
        </w:p>
        <w:p w14:paraId="458D420B" w14:textId="08079628" w:rsidR="0012090A" w:rsidRPr="0012090A" w:rsidRDefault="003133E6" w:rsidP="0012090A">
          <w:r>
            <w:fldChar w:fldCharType="end"/>
          </w:r>
        </w:p>
      </w:sdtContent>
    </w:sdt>
    <w:p w14:paraId="46FC7AA3" w14:textId="7F4EE7D7" w:rsidR="0094070C" w:rsidRDefault="0094070C" w:rsidP="0094070C">
      <w:pPr>
        <w:rPr>
          <w:lang w:eastAsia="en-AU"/>
        </w:rPr>
      </w:pPr>
    </w:p>
    <w:p w14:paraId="11212F99" w14:textId="412BCA3D" w:rsidR="0094070C" w:rsidRDefault="0094070C" w:rsidP="0094070C">
      <w:pPr>
        <w:rPr>
          <w:lang w:eastAsia="en-AU"/>
        </w:rPr>
      </w:pPr>
    </w:p>
    <w:p w14:paraId="47FA4ED7" w14:textId="68AF6F49" w:rsidR="0094070C" w:rsidRDefault="0094070C" w:rsidP="0094070C">
      <w:pPr>
        <w:rPr>
          <w:lang w:eastAsia="en-AU"/>
        </w:rPr>
      </w:pPr>
    </w:p>
    <w:p w14:paraId="24DBA9CA" w14:textId="1A0D7A8F" w:rsidR="00BC349B" w:rsidRDefault="00BC349B" w:rsidP="00BC349B">
      <w:pPr>
        <w:rPr>
          <w:lang w:eastAsia="en-AU"/>
        </w:rPr>
      </w:pPr>
    </w:p>
    <w:p w14:paraId="12238111" w14:textId="77AA896A" w:rsidR="00BC349B" w:rsidRPr="00BC349B" w:rsidRDefault="00BC349B" w:rsidP="00BC349B">
      <w:pPr>
        <w:pStyle w:val="Heading1"/>
        <w:rPr>
          <w:lang w:eastAsia="en-AU"/>
        </w:rPr>
      </w:pPr>
      <w:bookmarkStart w:id="0" w:name="_Toc131144592"/>
      <w:r>
        <w:rPr>
          <w:lang w:eastAsia="en-AU"/>
        </w:rPr>
        <w:lastRenderedPageBreak/>
        <w:t>Draft Application</w:t>
      </w:r>
      <w:bookmarkEnd w:id="0"/>
      <w:r>
        <w:rPr>
          <w:lang w:eastAsia="en-AU"/>
        </w:rPr>
        <w:t xml:space="preserve"> </w:t>
      </w:r>
    </w:p>
    <w:p w14:paraId="45F1D5AE" w14:textId="1CF3AB8F" w:rsidR="00B85ECC" w:rsidRDefault="00B85ECC" w:rsidP="00B85ECC">
      <w:pPr>
        <w:rPr>
          <w:lang w:eastAsia="en-AU"/>
        </w:rPr>
      </w:pPr>
    </w:p>
    <w:p w14:paraId="15E7DE75" w14:textId="77777777" w:rsidR="00B0175E" w:rsidRDefault="00B85ECC" w:rsidP="00B85ECC">
      <w:pPr>
        <w:rPr>
          <w:lang w:eastAsia="en-AU"/>
        </w:rPr>
      </w:pPr>
      <w:r>
        <w:rPr>
          <w:lang w:eastAsia="en-AU"/>
        </w:rPr>
        <w:t>The purpose of this research is to enable the founder of the Reset Freedom Foundation to obtain</w:t>
      </w:r>
      <w:r w:rsidR="00B0175E">
        <w:rPr>
          <w:lang w:eastAsia="en-AU"/>
        </w:rPr>
        <w:t>: -</w:t>
      </w:r>
    </w:p>
    <w:p w14:paraId="152BFC77" w14:textId="322EB996" w:rsidR="00B0175E" w:rsidRDefault="00B0175E" w:rsidP="00B0175E">
      <w:pPr>
        <w:pStyle w:val="ListParagraph"/>
        <w:numPr>
          <w:ilvl w:val="0"/>
          <w:numId w:val="59"/>
        </w:numPr>
        <w:rPr>
          <w:lang w:eastAsia="en-AU"/>
        </w:rPr>
      </w:pPr>
      <w:r>
        <w:rPr>
          <w:lang w:eastAsia="en-AU"/>
        </w:rPr>
        <w:t>U</w:t>
      </w:r>
      <w:r w:rsidR="00883550">
        <w:rPr>
          <w:lang w:eastAsia="en-AU"/>
        </w:rPr>
        <w:t>nder an</w:t>
      </w:r>
      <w:r w:rsidR="00883550" w:rsidRPr="00B0175E">
        <w:rPr>
          <w:b/>
          <w:bCs/>
          <w:i/>
          <w:iCs/>
          <w:lang w:eastAsia="en-AU"/>
        </w:rPr>
        <w:t xml:space="preserve"> ex </w:t>
      </w:r>
      <w:proofErr w:type="spellStart"/>
      <w:r w:rsidR="00883550" w:rsidRPr="00B0175E">
        <w:rPr>
          <w:b/>
          <w:bCs/>
          <w:i/>
          <w:iCs/>
          <w:lang w:eastAsia="en-AU"/>
        </w:rPr>
        <w:t>parte</w:t>
      </w:r>
      <w:proofErr w:type="spellEnd"/>
      <w:r w:rsidR="009259C9">
        <w:rPr>
          <w:b/>
          <w:bCs/>
          <w:i/>
          <w:iCs/>
          <w:lang w:eastAsia="en-AU"/>
        </w:rPr>
        <w:t>,</w:t>
      </w:r>
      <w:r w:rsidR="00883550">
        <w:rPr>
          <w:lang w:eastAsia="en-AU"/>
        </w:rPr>
        <w:t xml:space="preserve"> </w:t>
      </w:r>
      <w:r w:rsidR="009259C9" w:rsidRPr="00B0175E">
        <w:rPr>
          <w:b/>
          <w:bCs/>
          <w:i/>
          <w:iCs/>
          <w:lang w:eastAsia="en-AU"/>
        </w:rPr>
        <w:t>in camera</w:t>
      </w:r>
      <w:r w:rsidR="009259C9">
        <w:rPr>
          <w:lang w:eastAsia="en-AU"/>
        </w:rPr>
        <w:t xml:space="preserve"> </w:t>
      </w:r>
      <w:r w:rsidR="00883550">
        <w:rPr>
          <w:lang w:eastAsia="en-AU"/>
        </w:rPr>
        <w:t>application</w:t>
      </w:r>
      <w:r w:rsidR="00B068AC">
        <w:rPr>
          <w:rStyle w:val="FootnoteReference"/>
          <w:lang w:eastAsia="en-AU"/>
        </w:rPr>
        <w:footnoteReference w:id="1"/>
      </w:r>
      <w:r>
        <w:rPr>
          <w:lang w:eastAsia="en-AU"/>
        </w:rPr>
        <w:t xml:space="preserve">, </w:t>
      </w:r>
    </w:p>
    <w:p w14:paraId="538B0AC9" w14:textId="6D579F55" w:rsidR="003E7F60" w:rsidRDefault="003E7F60" w:rsidP="003E7F60">
      <w:pPr>
        <w:pStyle w:val="ListParagraph"/>
        <w:numPr>
          <w:ilvl w:val="1"/>
          <w:numId w:val="59"/>
        </w:numPr>
        <w:rPr>
          <w:lang w:eastAsia="en-AU"/>
        </w:rPr>
      </w:pPr>
      <w:r>
        <w:rPr>
          <w:lang w:eastAsia="en-AU"/>
        </w:rPr>
        <w:t>That these proceedings may be conducted via the internet at the discretion of this honourable court.</w:t>
      </w:r>
    </w:p>
    <w:p w14:paraId="742A8E8A" w14:textId="669632AF" w:rsidR="00B0175E" w:rsidRDefault="009259C9" w:rsidP="00B0175E">
      <w:pPr>
        <w:pStyle w:val="ListParagraph"/>
        <w:numPr>
          <w:ilvl w:val="0"/>
          <w:numId w:val="59"/>
        </w:numPr>
        <w:rPr>
          <w:lang w:eastAsia="en-AU"/>
        </w:rPr>
      </w:pPr>
      <w:r>
        <w:rPr>
          <w:lang w:eastAsia="en-AU"/>
        </w:rPr>
        <w:t>A</w:t>
      </w:r>
      <w:r w:rsidR="00883550">
        <w:rPr>
          <w:lang w:eastAsia="en-AU"/>
        </w:rPr>
        <w:t>n</w:t>
      </w:r>
      <w:r w:rsidR="00B85ECC">
        <w:rPr>
          <w:lang w:eastAsia="en-AU"/>
        </w:rPr>
        <w:t xml:space="preserve"> order </w:t>
      </w:r>
      <w:r>
        <w:rPr>
          <w:lang w:eastAsia="en-AU"/>
        </w:rPr>
        <w:t>ensuring</w:t>
      </w:r>
      <w:r w:rsidR="00B85ECC">
        <w:rPr>
          <w:lang w:eastAsia="en-AU"/>
        </w:rPr>
        <w:t xml:space="preserve"> an </w:t>
      </w:r>
      <w:r w:rsidR="00B85ECC" w:rsidRPr="00B0175E">
        <w:rPr>
          <w:b/>
          <w:bCs/>
          <w:lang w:eastAsia="en-AU"/>
        </w:rPr>
        <w:t xml:space="preserve">appropriate </w:t>
      </w:r>
      <w:r w:rsidR="00883550" w:rsidRPr="00B0175E">
        <w:rPr>
          <w:b/>
          <w:bCs/>
          <w:lang w:eastAsia="en-AU"/>
        </w:rPr>
        <w:t>independent and impartial forum</w:t>
      </w:r>
      <w:r w:rsidR="00B068AC">
        <w:rPr>
          <w:rStyle w:val="FootnoteReference"/>
          <w:b/>
          <w:bCs/>
          <w:lang w:eastAsia="en-AU"/>
        </w:rPr>
        <w:footnoteReference w:id="2"/>
      </w:r>
      <w:r w:rsidR="00B0175E">
        <w:rPr>
          <w:lang w:eastAsia="en-AU"/>
        </w:rPr>
        <w:t>: -</w:t>
      </w:r>
    </w:p>
    <w:p w14:paraId="432CA731" w14:textId="77777777" w:rsidR="00B0175E" w:rsidRDefault="00883550" w:rsidP="00BC349B">
      <w:pPr>
        <w:pStyle w:val="ListParagraph"/>
        <w:numPr>
          <w:ilvl w:val="0"/>
          <w:numId w:val="59"/>
        </w:numPr>
        <w:rPr>
          <w:lang w:eastAsia="en-AU"/>
        </w:rPr>
      </w:pPr>
      <w:r>
        <w:rPr>
          <w:lang w:eastAsia="en-AU"/>
        </w:rPr>
        <w:t xml:space="preserve">Declaring the </w:t>
      </w:r>
      <w:r w:rsidRPr="00BC349B">
        <w:rPr>
          <w:b/>
          <w:bCs/>
          <w:lang w:eastAsia="en-AU"/>
        </w:rPr>
        <w:t xml:space="preserve">applicant’s </w:t>
      </w:r>
      <w:r w:rsidR="004D2F62" w:rsidRPr="00BC349B">
        <w:rPr>
          <w:b/>
          <w:bCs/>
          <w:lang w:eastAsia="en-AU"/>
        </w:rPr>
        <w:t xml:space="preserve">legal </w:t>
      </w:r>
      <w:r w:rsidRPr="00BC349B">
        <w:rPr>
          <w:b/>
          <w:bCs/>
          <w:lang w:eastAsia="en-AU"/>
        </w:rPr>
        <w:t>status</w:t>
      </w:r>
      <w:r>
        <w:rPr>
          <w:lang w:eastAsia="en-AU"/>
        </w:rPr>
        <w:t xml:space="preserve"> in respect of the legal definition of a </w:t>
      </w:r>
      <w:r w:rsidRPr="00BC349B">
        <w:rPr>
          <w:b/>
          <w:bCs/>
          <w:lang w:eastAsia="en-AU"/>
        </w:rPr>
        <w:t xml:space="preserve">domestic </w:t>
      </w:r>
      <w:r w:rsidR="00B0175E" w:rsidRPr="00BC349B">
        <w:rPr>
          <w:b/>
          <w:bCs/>
          <w:lang w:eastAsia="en-AU"/>
        </w:rPr>
        <w:t xml:space="preserve">or international </w:t>
      </w:r>
      <w:r w:rsidRPr="00BC349B">
        <w:rPr>
          <w:b/>
          <w:bCs/>
          <w:lang w:eastAsia="en-AU"/>
        </w:rPr>
        <w:t>terrorist</w:t>
      </w:r>
      <w:r w:rsidR="004D2F62">
        <w:rPr>
          <w:lang w:eastAsia="en-AU"/>
        </w:rPr>
        <w:t>,</w:t>
      </w:r>
      <w:r>
        <w:rPr>
          <w:lang w:eastAsia="en-AU"/>
        </w:rPr>
        <w:t xml:space="preserve"> </w:t>
      </w:r>
    </w:p>
    <w:p w14:paraId="4E0A9BE1" w14:textId="2B234761" w:rsidR="00883550" w:rsidRDefault="00883550" w:rsidP="00BC349B">
      <w:pPr>
        <w:pStyle w:val="ListParagraph"/>
        <w:numPr>
          <w:ilvl w:val="1"/>
          <w:numId w:val="59"/>
        </w:numPr>
        <w:rPr>
          <w:lang w:eastAsia="en-AU"/>
        </w:rPr>
      </w:pPr>
      <w:r>
        <w:rPr>
          <w:lang w:eastAsia="en-AU"/>
        </w:rPr>
        <w:t>in the light of current statute, regulations and internationally accepted standards</w:t>
      </w:r>
      <w:r w:rsidR="004D2F62">
        <w:rPr>
          <w:lang w:eastAsia="en-AU"/>
        </w:rPr>
        <w:t xml:space="preserve"> and definitions</w:t>
      </w:r>
      <w:r>
        <w:rPr>
          <w:lang w:eastAsia="en-AU"/>
        </w:rPr>
        <w:t>.</w:t>
      </w:r>
    </w:p>
    <w:p w14:paraId="03762BFC" w14:textId="3D5FBA8C" w:rsidR="009259C9" w:rsidRDefault="009259C9" w:rsidP="00BC349B">
      <w:pPr>
        <w:pStyle w:val="ListParagraph"/>
        <w:numPr>
          <w:ilvl w:val="1"/>
          <w:numId w:val="59"/>
        </w:numPr>
        <w:rPr>
          <w:lang w:eastAsia="en-AU"/>
        </w:rPr>
      </w:pPr>
      <w:r>
        <w:rPr>
          <w:lang w:eastAsia="en-AU"/>
        </w:rPr>
        <w:t>As against the definition of the Queensland Police Commissioner.</w:t>
      </w:r>
    </w:p>
    <w:p w14:paraId="44A0C8BA" w14:textId="1C84723D" w:rsidR="009259C9" w:rsidRPr="00BC349B" w:rsidRDefault="009259C9" w:rsidP="00BC349B">
      <w:pPr>
        <w:pStyle w:val="ListParagraph"/>
        <w:numPr>
          <w:ilvl w:val="0"/>
          <w:numId w:val="59"/>
        </w:numPr>
        <w:rPr>
          <w:b/>
          <w:bCs/>
          <w:lang w:eastAsia="en-AU"/>
        </w:rPr>
      </w:pPr>
      <w:r>
        <w:rPr>
          <w:lang w:eastAsia="en-AU"/>
        </w:rPr>
        <w:t xml:space="preserve">Directing that the </w:t>
      </w:r>
      <w:r w:rsidRPr="00BC349B">
        <w:rPr>
          <w:b/>
          <w:bCs/>
          <w:lang w:eastAsia="en-AU"/>
        </w:rPr>
        <w:t>definition as determined</w:t>
      </w:r>
      <w:r>
        <w:rPr>
          <w:lang w:eastAsia="en-AU"/>
        </w:rPr>
        <w:t xml:space="preserve"> by this honourable court be </w:t>
      </w:r>
      <w:r w:rsidRPr="00BC349B">
        <w:rPr>
          <w:b/>
          <w:bCs/>
          <w:lang w:eastAsia="en-AU"/>
        </w:rPr>
        <w:t>binding on all organs of state.</w:t>
      </w:r>
    </w:p>
    <w:p w14:paraId="5CC91D87" w14:textId="77777777" w:rsidR="00B0175E" w:rsidRDefault="00883550" w:rsidP="00B0175E">
      <w:pPr>
        <w:pStyle w:val="ListParagraph"/>
        <w:numPr>
          <w:ilvl w:val="0"/>
          <w:numId w:val="59"/>
        </w:numPr>
        <w:rPr>
          <w:lang w:eastAsia="en-AU"/>
        </w:rPr>
      </w:pPr>
      <w:r>
        <w:rPr>
          <w:lang w:eastAsia="en-AU"/>
        </w:rPr>
        <w:t xml:space="preserve">Providing an </w:t>
      </w:r>
      <w:r w:rsidRPr="00BC349B">
        <w:rPr>
          <w:b/>
          <w:bCs/>
          <w:lang w:eastAsia="en-AU"/>
        </w:rPr>
        <w:t>interim injunction</w:t>
      </w:r>
      <w:r>
        <w:rPr>
          <w:lang w:eastAsia="en-AU"/>
        </w:rPr>
        <w:t xml:space="preserve"> </w:t>
      </w:r>
      <w:r w:rsidR="004D2F62">
        <w:rPr>
          <w:lang w:eastAsia="en-AU"/>
        </w:rPr>
        <w:t xml:space="preserve">that is binding </w:t>
      </w:r>
      <w:r>
        <w:rPr>
          <w:lang w:eastAsia="en-AU"/>
        </w:rPr>
        <w:t>against any action by any organ or agent of state against the applicant</w:t>
      </w:r>
      <w:r w:rsidR="00B0175E">
        <w:rPr>
          <w:lang w:eastAsia="en-AU"/>
        </w:rPr>
        <w:t>: -</w:t>
      </w:r>
      <w:r>
        <w:rPr>
          <w:lang w:eastAsia="en-AU"/>
        </w:rPr>
        <w:t xml:space="preserve"> </w:t>
      </w:r>
    </w:p>
    <w:p w14:paraId="042D3500" w14:textId="77777777" w:rsidR="00B0175E" w:rsidRDefault="004D2F62" w:rsidP="00B0175E">
      <w:pPr>
        <w:pStyle w:val="ListParagraph"/>
        <w:numPr>
          <w:ilvl w:val="1"/>
          <w:numId w:val="59"/>
        </w:numPr>
        <w:rPr>
          <w:lang w:eastAsia="en-AU"/>
        </w:rPr>
      </w:pPr>
      <w:r>
        <w:rPr>
          <w:lang w:eastAsia="en-AU"/>
        </w:rPr>
        <w:t>in respect of any accusation</w:t>
      </w:r>
      <w:r w:rsidR="00B0175E">
        <w:rPr>
          <w:lang w:eastAsia="en-AU"/>
        </w:rPr>
        <w:t>, claim, action, charge, process or procedure of whatsoever nature,</w:t>
      </w:r>
    </w:p>
    <w:p w14:paraId="179E070A" w14:textId="77777777" w:rsidR="00B0175E" w:rsidRDefault="00B0175E" w:rsidP="00B0175E">
      <w:pPr>
        <w:pStyle w:val="ListParagraph"/>
        <w:numPr>
          <w:ilvl w:val="2"/>
          <w:numId w:val="59"/>
        </w:numPr>
        <w:rPr>
          <w:lang w:eastAsia="en-AU"/>
        </w:rPr>
      </w:pPr>
      <w:r>
        <w:rPr>
          <w:lang w:eastAsia="en-AU"/>
        </w:rPr>
        <w:t>of domestic or international terrorism</w:t>
      </w:r>
      <w:r w:rsidR="004D2F62">
        <w:rPr>
          <w:lang w:eastAsia="en-AU"/>
        </w:rPr>
        <w:t xml:space="preserve">, </w:t>
      </w:r>
    </w:p>
    <w:p w14:paraId="7BCD5589" w14:textId="4B7AEB4A" w:rsidR="00B0175E" w:rsidRDefault="00883550" w:rsidP="00B0175E">
      <w:pPr>
        <w:pStyle w:val="ListParagraph"/>
        <w:numPr>
          <w:ilvl w:val="2"/>
          <w:numId w:val="59"/>
        </w:numPr>
        <w:rPr>
          <w:lang w:eastAsia="en-AU"/>
        </w:rPr>
      </w:pPr>
      <w:r>
        <w:rPr>
          <w:lang w:eastAsia="en-AU"/>
        </w:rPr>
        <w:t xml:space="preserve">until such declaration </w:t>
      </w:r>
      <w:r w:rsidR="008D6E39">
        <w:rPr>
          <w:lang w:eastAsia="en-AU"/>
        </w:rPr>
        <w:t>of rights as called for in this application is</w:t>
      </w:r>
      <w:r>
        <w:rPr>
          <w:lang w:eastAsia="en-AU"/>
        </w:rPr>
        <w:t xml:space="preserve"> made</w:t>
      </w:r>
      <w:r w:rsidR="004D2F62">
        <w:rPr>
          <w:lang w:eastAsia="en-AU"/>
        </w:rPr>
        <w:t xml:space="preserve"> </w:t>
      </w:r>
      <w:r w:rsidR="008D6E39">
        <w:rPr>
          <w:lang w:eastAsia="en-AU"/>
        </w:rPr>
        <w:t>by this honourable court.</w:t>
      </w:r>
    </w:p>
    <w:p w14:paraId="650B3A0D" w14:textId="77777777" w:rsidR="00BC349B" w:rsidRDefault="004D2F62" w:rsidP="00B0175E">
      <w:pPr>
        <w:pStyle w:val="ListParagraph"/>
        <w:numPr>
          <w:ilvl w:val="2"/>
          <w:numId w:val="59"/>
        </w:numPr>
        <w:rPr>
          <w:lang w:eastAsia="en-AU"/>
        </w:rPr>
      </w:pPr>
      <w:r>
        <w:rPr>
          <w:lang w:eastAsia="en-AU"/>
        </w:rPr>
        <w:t xml:space="preserve">or </w:t>
      </w:r>
      <w:r w:rsidR="00BC349B">
        <w:rPr>
          <w:lang w:eastAsia="en-AU"/>
        </w:rPr>
        <w:t xml:space="preserve">until </w:t>
      </w:r>
      <w:r>
        <w:rPr>
          <w:lang w:eastAsia="en-AU"/>
        </w:rPr>
        <w:t>these proceedings are finalised</w:t>
      </w:r>
    </w:p>
    <w:p w14:paraId="72063EF6" w14:textId="7AF2E406" w:rsidR="00883550" w:rsidRDefault="00BC349B" w:rsidP="00B0175E">
      <w:pPr>
        <w:pStyle w:val="ListParagraph"/>
        <w:numPr>
          <w:ilvl w:val="2"/>
          <w:numId w:val="59"/>
        </w:numPr>
        <w:rPr>
          <w:lang w:eastAsia="en-AU"/>
        </w:rPr>
      </w:pPr>
      <w:r>
        <w:rPr>
          <w:lang w:eastAsia="en-AU"/>
        </w:rPr>
        <w:t>which inju</w:t>
      </w:r>
      <w:r w:rsidR="00944236">
        <w:rPr>
          <w:lang w:eastAsia="en-AU"/>
        </w:rPr>
        <w:t>n</w:t>
      </w:r>
      <w:r>
        <w:rPr>
          <w:lang w:eastAsia="en-AU"/>
        </w:rPr>
        <w:t>ction may be confirmed by this honourable court</w:t>
      </w:r>
      <w:r w:rsidR="004D2F62">
        <w:rPr>
          <w:lang w:eastAsia="en-AU"/>
        </w:rPr>
        <w:t>.</w:t>
      </w:r>
    </w:p>
    <w:p w14:paraId="7B6FB4FE" w14:textId="09B57FFC" w:rsidR="00B068AC" w:rsidRDefault="00883550" w:rsidP="00B068AC">
      <w:pPr>
        <w:pStyle w:val="ListParagraph"/>
        <w:numPr>
          <w:ilvl w:val="0"/>
          <w:numId w:val="59"/>
        </w:numPr>
        <w:rPr>
          <w:lang w:eastAsia="en-AU"/>
        </w:rPr>
      </w:pPr>
      <w:r>
        <w:rPr>
          <w:lang w:eastAsia="en-AU"/>
        </w:rPr>
        <w:t xml:space="preserve">Appointing such </w:t>
      </w:r>
      <w:r w:rsidRPr="00BC349B">
        <w:rPr>
          <w:b/>
          <w:bCs/>
          <w:lang w:eastAsia="en-AU"/>
        </w:rPr>
        <w:t>independent and impartial legal counsel</w:t>
      </w:r>
      <w:r>
        <w:rPr>
          <w:lang w:eastAsia="en-AU"/>
        </w:rPr>
        <w:t xml:space="preserve"> to assist (indigent) applicant</w:t>
      </w:r>
      <w:r w:rsidR="00B0175E">
        <w:rPr>
          <w:lang w:eastAsia="en-AU"/>
        </w:rPr>
        <w:t>:</w:t>
      </w:r>
      <w:r w:rsidR="001E0E7A">
        <w:rPr>
          <w:lang w:eastAsia="en-AU"/>
        </w:rPr>
        <w:t xml:space="preserve"> </w:t>
      </w:r>
      <w:r w:rsidR="00B0175E">
        <w:rPr>
          <w:lang w:eastAsia="en-AU"/>
        </w:rPr>
        <w:t>-</w:t>
      </w:r>
      <w:r>
        <w:rPr>
          <w:lang w:eastAsia="en-AU"/>
        </w:rPr>
        <w:t xml:space="preserve"> </w:t>
      </w:r>
    </w:p>
    <w:p w14:paraId="412B2C7B" w14:textId="77777777" w:rsidR="00B068AC" w:rsidRDefault="00883550" w:rsidP="00B068AC">
      <w:pPr>
        <w:pStyle w:val="ListParagraph"/>
        <w:numPr>
          <w:ilvl w:val="1"/>
          <w:numId w:val="59"/>
        </w:numPr>
        <w:rPr>
          <w:lang w:eastAsia="en-AU"/>
        </w:rPr>
      </w:pPr>
      <w:r>
        <w:rPr>
          <w:lang w:eastAsia="en-AU"/>
        </w:rPr>
        <w:t>in making such adjustments to his application in respect of format and content as this honourable court may deem fit to direct</w:t>
      </w:r>
      <w:r w:rsidR="00B0175E">
        <w:rPr>
          <w:lang w:eastAsia="en-AU"/>
        </w:rPr>
        <w:t>,</w:t>
      </w:r>
      <w:r>
        <w:rPr>
          <w:lang w:eastAsia="en-AU"/>
        </w:rPr>
        <w:t xml:space="preserve"> </w:t>
      </w:r>
    </w:p>
    <w:p w14:paraId="7608D772" w14:textId="77777777" w:rsidR="00B068AC" w:rsidRDefault="00883550" w:rsidP="00B068AC">
      <w:pPr>
        <w:pStyle w:val="ListParagraph"/>
        <w:numPr>
          <w:ilvl w:val="2"/>
          <w:numId w:val="59"/>
        </w:numPr>
        <w:rPr>
          <w:lang w:eastAsia="en-AU"/>
        </w:rPr>
      </w:pPr>
      <w:r>
        <w:rPr>
          <w:lang w:eastAsia="en-AU"/>
        </w:rPr>
        <w:t>in the interest of justice</w:t>
      </w:r>
      <w:r w:rsidR="00B0175E">
        <w:rPr>
          <w:lang w:eastAsia="en-AU"/>
        </w:rPr>
        <w:t xml:space="preserve">, </w:t>
      </w:r>
    </w:p>
    <w:p w14:paraId="09C4C499" w14:textId="77777777" w:rsidR="00B068AC" w:rsidRDefault="00B0175E" w:rsidP="00B068AC">
      <w:pPr>
        <w:pStyle w:val="ListParagraph"/>
        <w:numPr>
          <w:ilvl w:val="2"/>
          <w:numId w:val="59"/>
        </w:numPr>
        <w:rPr>
          <w:lang w:eastAsia="en-AU"/>
        </w:rPr>
      </w:pPr>
      <w:r>
        <w:rPr>
          <w:lang w:eastAsia="en-AU"/>
        </w:rPr>
        <w:t xml:space="preserve">particularity of definition, </w:t>
      </w:r>
    </w:p>
    <w:p w14:paraId="6EBEFF1C" w14:textId="77777777" w:rsidR="00B068AC" w:rsidRDefault="00883550" w:rsidP="00B068AC">
      <w:pPr>
        <w:pStyle w:val="ListParagraph"/>
        <w:numPr>
          <w:ilvl w:val="2"/>
          <w:numId w:val="59"/>
        </w:numPr>
        <w:rPr>
          <w:lang w:eastAsia="en-AU"/>
        </w:rPr>
      </w:pPr>
      <w:r>
        <w:rPr>
          <w:lang w:eastAsia="en-AU"/>
        </w:rPr>
        <w:t xml:space="preserve">and </w:t>
      </w:r>
      <w:r w:rsidR="004D2F62">
        <w:rPr>
          <w:lang w:eastAsia="en-AU"/>
        </w:rPr>
        <w:t xml:space="preserve">so as </w:t>
      </w:r>
      <w:r>
        <w:rPr>
          <w:lang w:eastAsia="en-AU"/>
        </w:rPr>
        <w:t xml:space="preserve">to prevent any unnecessary delay </w:t>
      </w:r>
    </w:p>
    <w:p w14:paraId="05B04589" w14:textId="5CB6E012" w:rsidR="00883550" w:rsidRDefault="004D2F62" w:rsidP="00B068AC">
      <w:pPr>
        <w:pStyle w:val="ListParagraph"/>
        <w:numPr>
          <w:ilvl w:val="2"/>
          <w:numId w:val="59"/>
        </w:numPr>
        <w:rPr>
          <w:lang w:eastAsia="en-AU"/>
        </w:rPr>
      </w:pPr>
      <w:r>
        <w:rPr>
          <w:lang w:eastAsia="en-AU"/>
        </w:rPr>
        <w:t>or protraction of</w:t>
      </w:r>
      <w:r w:rsidR="00883550">
        <w:rPr>
          <w:lang w:eastAsia="en-AU"/>
        </w:rPr>
        <w:t xml:space="preserve"> proceedings.</w:t>
      </w:r>
    </w:p>
    <w:p w14:paraId="0E949335" w14:textId="3AB0C922" w:rsidR="004D2F62" w:rsidRDefault="004D2F62" w:rsidP="00B068AC">
      <w:pPr>
        <w:pStyle w:val="ListParagraph"/>
        <w:numPr>
          <w:ilvl w:val="0"/>
          <w:numId w:val="59"/>
        </w:numPr>
        <w:rPr>
          <w:lang w:eastAsia="en-AU"/>
        </w:rPr>
      </w:pPr>
      <w:r>
        <w:rPr>
          <w:lang w:eastAsia="en-AU"/>
        </w:rPr>
        <w:t xml:space="preserve">Directing that the matter be treated as </w:t>
      </w:r>
      <w:r w:rsidRPr="00BC349B">
        <w:rPr>
          <w:b/>
          <w:bCs/>
          <w:lang w:eastAsia="en-AU"/>
        </w:rPr>
        <w:t>urgent</w:t>
      </w:r>
      <w:r>
        <w:rPr>
          <w:lang w:eastAsia="en-AU"/>
        </w:rPr>
        <w:t xml:space="preserve"> at the discretion of this honourable court.</w:t>
      </w:r>
    </w:p>
    <w:p w14:paraId="5458DE1E" w14:textId="0CF585A7" w:rsidR="00883550" w:rsidRDefault="004D2F62" w:rsidP="00B068AC">
      <w:pPr>
        <w:pStyle w:val="ListParagraph"/>
        <w:numPr>
          <w:ilvl w:val="0"/>
          <w:numId w:val="59"/>
        </w:numPr>
        <w:rPr>
          <w:lang w:eastAsia="en-AU"/>
        </w:rPr>
      </w:pPr>
      <w:r>
        <w:rPr>
          <w:lang w:eastAsia="en-AU"/>
        </w:rPr>
        <w:t>Directing to dispense with certain procedure at the discretion of this honourable court.</w:t>
      </w:r>
    </w:p>
    <w:p w14:paraId="4C8459CC" w14:textId="24295AC7" w:rsidR="00B0175E" w:rsidRDefault="00B0175E" w:rsidP="001634B0">
      <w:pPr>
        <w:pStyle w:val="ListParagraph"/>
        <w:numPr>
          <w:ilvl w:val="0"/>
          <w:numId w:val="59"/>
        </w:numPr>
        <w:rPr>
          <w:lang w:eastAsia="en-AU"/>
        </w:rPr>
      </w:pPr>
      <w:r>
        <w:rPr>
          <w:lang w:eastAsia="en-AU"/>
        </w:rPr>
        <w:t xml:space="preserve">Such other order that this honourable court </w:t>
      </w:r>
      <w:r w:rsidR="00BC349B">
        <w:rPr>
          <w:lang w:eastAsia="en-AU"/>
        </w:rPr>
        <w:t xml:space="preserve">may </w:t>
      </w:r>
      <w:r>
        <w:rPr>
          <w:lang w:eastAsia="en-AU"/>
        </w:rPr>
        <w:t>deem fit, apt or necessary.</w:t>
      </w:r>
    </w:p>
    <w:p w14:paraId="5C2A47E4" w14:textId="5D14DECD" w:rsidR="00BC349B" w:rsidRDefault="00BC349B" w:rsidP="003E7F60">
      <w:pPr>
        <w:rPr>
          <w:lang w:eastAsia="en-AU"/>
        </w:rPr>
      </w:pPr>
    </w:p>
    <w:p w14:paraId="04B44AAC" w14:textId="0BA996D8" w:rsidR="00BC349B" w:rsidRDefault="00BC349B" w:rsidP="003E7F60">
      <w:pPr>
        <w:rPr>
          <w:lang w:eastAsia="en-AU"/>
        </w:rPr>
      </w:pPr>
    </w:p>
    <w:p w14:paraId="07A35AF3" w14:textId="7675359F" w:rsidR="00BC349B" w:rsidRDefault="00BC349B" w:rsidP="00BC349B">
      <w:pPr>
        <w:pStyle w:val="Heading1"/>
        <w:jc w:val="center"/>
        <w:rPr>
          <w:lang w:eastAsia="en-AU"/>
        </w:rPr>
      </w:pPr>
      <w:bookmarkStart w:id="1" w:name="_Toc131144593"/>
      <w:r>
        <w:rPr>
          <w:lang w:eastAsia="en-AU"/>
        </w:rPr>
        <w:lastRenderedPageBreak/>
        <w:t>Research and development</w:t>
      </w:r>
      <w:bookmarkEnd w:id="1"/>
    </w:p>
    <w:p w14:paraId="53C344D2" w14:textId="77777777" w:rsidR="00BC349B" w:rsidRPr="00BC349B" w:rsidRDefault="00BC349B" w:rsidP="00BC349B">
      <w:pPr>
        <w:rPr>
          <w:lang w:eastAsia="en-AU"/>
        </w:rPr>
      </w:pPr>
    </w:p>
    <w:p w14:paraId="16C529C8" w14:textId="05275412" w:rsidR="006237BF" w:rsidRPr="00B61373" w:rsidRDefault="006237BF" w:rsidP="006237BF">
      <w:pPr>
        <w:pStyle w:val="Heading3"/>
        <w:rPr>
          <w:rFonts w:cs="Arial"/>
          <w:lang w:eastAsia="en-AU"/>
        </w:rPr>
      </w:pPr>
      <w:bookmarkStart w:id="2" w:name="_Toc131144594"/>
      <w:r w:rsidRPr="00B61373">
        <w:rPr>
          <w:rFonts w:cs="Arial"/>
          <w:lang w:eastAsia="en-AU"/>
        </w:rPr>
        <w:t>Appropriate forum</w:t>
      </w:r>
      <w:bookmarkEnd w:id="2"/>
    </w:p>
    <w:p w14:paraId="028C1456" w14:textId="77777777" w:rsidR="006237BF" w:rsidRPr="00B61373" w:rsidRDefault="006237BF" w:rsidP="006237BF">
      <w:pPr>
        <w:rPr>
          <w:rFonts w:cs="Arial"/>
          <w:lang w:eastAsia="en-AU"/>
        </w:rPr>
      </w:pPr>
    </w:p>
    <w:p w14:paraId="1FA55E34" w14:textId="6301B229" w:rsidR="007B55D9" w:rsidRPr="00B61373" w:rsidRDefault="007B55D9" w:rsidP="001E32C6">
      <w:pPr>
        <w:pStyle w:val="Heading4"/>
        <w:rPr>
          <w:rFonts w:eastAsia="Times New Roman" w:cs="Arial"/>
          <w:lang w:eastAsia="en-AU"/>
        </w:rPr>
      </w:pPr>
      <w:bookmarkStart w:id="3" w:name="_Toc131144595"/>
      <w:r w:rsidRPr="00B61373">
        <w:rPr>
          <w:rFonts w:eastAsia="Times New Roman" w:cs="Arial"/>
          <w:lang w:eastAsia="en-AU"/>
        </w:rPr>
        <w:t>Which is the best court of law to approach in Australia if one needs protection against violations of human rights by organs of state?</w:t>
      </w:r>
      <w:bookmarkEnd w:id="3"/>
    </w:p>
    <w:p w14:paraId="531CB9D1" w14:textId="77777777" w:rsidR="001E32C6" w:rsidRPr="007B55D9" w:rsidRDefault="001E32C6" w:rsidP="007B55D9">
      <w:pPr>
        <w:spacing w:after="100" w:line="240" w:lineRule="auto"/>
        <w:rPr>
          <w:rFonts w:eastAsia="Times New Roman" w:cs="Arial"/>
          <w:b/>
          <w:bCs/>
          <w:sz w:val="21"/>
          <w:szCs w:val="21"/>
          <w:lang w:eastAsia="en-AU"/>
        </w:rPr>
      </w:pPr>
    </w:p>
    <w:p w14:paraId="261BA99D" w14:textId="77777777" w:rsidR="007B55D9" w:rsidRPr="007B55D9" w:rsidRDefault="007B55D9" w:rsidP="007B55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7B55D9">
        <w:rPr>
          <w:rFonts w:eastAsia="Times New Roman" w:cs="Arial"/>
          <w:sz w:val="22"/>
          <w:lang w:eastAsia="en-AU"/>
        </w:rPr>
        <w:t>In Australia, the best court of law to approach for protection against violations of human rights by organs of the state would depend on the specific circumstances of the case and the nature of the alleged violations. Here are some options to consider:</w:t>
      </w:r>
    </w:p>
    <w:p w14:paraId="0E46B2C5" w14:textId="417ADB51" w:rsidR="007B55D9"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Federal Circuit Court of Australia</w:t>
      </w:r>
      <w:r w:rsidRPr="007B55D9">
        <w:rPr>
          <w:rFonts w:eastAsia="Times New Roman" w:cs="Arial"/>
          <w:sz w:val="22"/>
          <w:lang w:eastAsia="en-AU"/>
        </w:rPr>
        <w:t>: This court deals with matters related to discrimination and human rights under federal law. It has the jurisdiction to hear cases related to the Australian Human Rights Commission Act 1986 and the Racial Discrimination Act 1975.</w:t>
      </w:r>
    </w:p>
    <w:p w14:paraId="213C8B29" w14:textId="77777777" w:rsidR="0010025C" w:rsidRPr="007B55D9" w:rsidRDefault="0010025C" w:rsidP="0010025C">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9C5DF76" w14:textId="5CB2A22B" w:rsidR="0010025C" w:rsidRPr="0010025C"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Federal Court of Australia:</w:t>
      </w:r>
      <w:r w:rsidRPr="007B55D9">
        <w:rPr>
          <w:rFonts w:eastAsia="Times New Roman" w:cs="Arial"/>
          <w:sz w:val="22"/>
          <w:lang w:eastAsia="en-AU"/>
        </w:rPr>
        <w:t xml:space="preserve"> This court has jurisdiction over matters related to the Australian Constitution, federal law, and the administration of justice by the Commonwealth. It can hear cases related to human rights under the Australian Human Rights Commission Act 1986, the Racial Discrimination Act 1975, and other federal legislation.</w:t>
      </w:r>
    </w:p>
    <w:p w14:paraId="42199069" w14:textId="77777777" w:rsidR="0010025C" w:rsidRPr="007B55D9" w:rsidRDefault="0010025C" w:rsidP="0010025C">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7578CFA0" w14:textId="4C043B7D" w:rsidR="007B55D9"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State and Territory Supreme Courts</w:t>
      </w:r>
      <w:r w:rsidRPr="007B55D9">
        <w:rPr>
          <w:rFonts w:eastAsia="Times New Roman" w:cs="Arial"/>
          <w:sz w:val="22"/>
          <w:lang w:eastAsia="en-AU"/>
        </w:rPr>
        <w:t>: These courts have jurisdiction over matters related to the state or territory in which they are located. They may hear cases related to state and territory human rights legislation, as well as cases related to federal human rights legislation where the matter involves state or territory law.</w:t>
      </w:r>
    </w:p>
    <w:p w14:paraId="596B0B84" w14:textId="77777777" w:rsidR="0010025C" w:rsidRPr="007B55D9"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6C23545" w14:textId="77777777" w:rsidR="007B55D9" w:rsidRPr="007B55D9" w:rsidRDefault="007B55D9">
      <w:pPr>
        <w:numPr>
          <w:ilvl w:val="0"/>
          <w:numId w:val="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 xml:space="preserve">Australian Human Rights Commission: </w:t>
      </w:r>
      <w:r w:rsidRPr="007B55D9">
        <w:rPr>
          <w:rFonts w:eastAsia="Times New Roman" w:cs="Arial"/>
          <w:sz w:val="22"/>
          <w:lang w:eastAsia="en-AU"/>
        </w:rPr>
        <w:t>This is a national independent statutory body that promotes and protects human rights in Australia. It can investigate complaints of discrimination and human rights violations under federal law, and attempt to conciliate disputes.</w:t>
      </w:r>
    </w:p>
    <w:p w14:paraId="5382738E" w14:textId="77777777" w:rsidR="007B55D9" w:rsidRPr="007B55D9" w:rsidRDefault="007B55D9" w:rsidP="007B55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7B55D9">
        <w:rPr>
          <w:rFonts w:eastAsia="Times New Roman" w:cs="Arial"/>
          <w:sz w:val="22"/>
          <w:lang w:eastAsia="en-AU"/>
        </w:rPr>
        <w:t>It is important to seek legal advice from a qualified lawyer to determine the most appropriate court or legal avenue to pursue in any given case.</w:t>
      </w:r>
    </w:p>
    <w:p w14:paraId="1E852980" w14:textId="7595DB21" w:rsidR="006237BF" w:rsidRPr="00B61373" w:rsidRDefault="006237BF" w:rsidP="007B55D9">
      <w:pPr>
        <w:spacing w:after="100" w:line="240" w:lineRule="auto"/>
        <w:rPr>
          <w:rFonts w:eastAsia="Times New Roman" w:cs="Arial"/>
          <w:sz w:val="21"/>
          <w:szCs w:val="21"/>
          <w:lang w:eastAsia="en-AU"/>
        </w:rPr>
      </w:pPr>
    </w:p>
    <w:p w14:paraId="4C2617A3" w14:textId="1011687C" w:rsidR="006237BF" w:rsidRPr="00B61373" w:rsidRDefault="006237BF" w:rsidP="001E32C6">
      <w:pPr>
        <w:pStyle w:val="Heading4"/>
        <w:rPr>
          <w:rFonts w:eastAsia="Times New Roman" w:cs="Arial"/>
          <w:lang w:eastAsia="en-AU"/>
        </w:rPr>
      </w:pPr>
      <w:bookmarkStart w:id="4" w:name="_Toc131144596"/>
      <w:r w:rsidRPr="00B61373">
        <w:rPr>
          <w:rFonts w:eastAsia="Times New Roman" w:cs="Arial"/>
          <w:lang w:eastAsia="en-AU"/>
        </w:rPr>
        <w:t>In Australian law, has there ever been an interlocutory application to the judge president of the court to appoint a judge that has no predisposition, conflict of interest, or other impediment to impartiality on aspects of an application?</w:t>
      </w:r>
      <w:bookmarkEnd w:id="4"/>
    </w:p>
    <w:p w14:paraId="06E2238F" w14:textId="77777777" w:rsidR="001E32C6" w:rsidRPr="006237BF" w:rsidRDefault="001E32C6" w:rsidP="006237BF">
      <w:pPr>
        <w:spacing w:after="100" w:line="240" w:lineRule="auto"/>
        <w:rPr>
          <w:rFonts w:eastAsia="Times New Roman" w:cs="Arial"/>
          <w:b/>
          <w:bCs/>
          <w:sz w:val="21"/>
          <w:szCs w:val="21"/>
          <w:lang w:eastAsia="en-AU"/>
        </w:rPr>
      </w:pPr>
    </w:p>
    <w:p w14:paraId="6C659829"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6237BF">
        <w:rPr>
          <w:rFonts w:eastAsia="Times New Roman" w:cs="Arial"/>
          <w:sz w:val="22"/>
          <w:lang w:eastAsia="en-AU"/>
        </w:rPr>
        <w:t>I am not aware of any specific instances of an interlocutory application being made in Australian law to the judge president of a court to appoint a judge who has no predisposition, conflict of interest, or other impediment to impartiality on aspects of an application.</w:t>
      </w:r>
    </w:p>
    <w:p w14:paraId="108B55D5"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However, in Australia, there are procedures in place to ensure that judges are impartial and unbiased in their decision-making. For example, the principle of natural justice requires that judges must be free from bias or prejudice in their decision-making, and parties to a case have the right to challenge a judge's impartiality if they believe there is a conflict of interest or other impediment.</w:t>
      </w:r>
    </w:p>
    <w:p w14:paraId="4C688673"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 xml:space="preserve">If a party has concerns about a judge's impartiality, they can make an application to the court seeking the judge's disqualification or recusal. This may occur if the judge has a personal or </w:t>
      </w:r>
      <w:r w:rsidRPr="006237BF">
        <w:rPr>
          <w:rFonts w:eastAsia="Times New Roman" w:cs="Arial"/>
          <w:sz w:val="22"/>
          <w:lang w:eastAsia="en-AU"/>
        </w:rPr>
        <w:lastRenderedPageBreak/>
        <w:t>financial interest in the outcome of the case, or if they have made comments or taken actions that suggest a lack of impartiality. The application would be considered by another judge, who would determine whether the original judge should be disqualified or recused from the case.</w:t>
      </w:r>
    </w:p>
    <w:p w14:paraId="60FABAD9"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6237BF">
        <w:rPr>
          <w:rFonts w:eastAsia="Times New Roman" w:cs="Arial"/>
          <w:sz w:val="22"/>
          <w:lang w:eastAsia="en-AU"/>
        </w:rPr>
        <w:t>In general, judges in Australia are expected to be impartial and unbiased, and any concerns about a judge's impartiality are taken seriously by the courts. If there is evidence of bias or a conflict of interest, the court will take appropriate action to ensure that justice is done in the case.</w:t>
      </w:r>
    </w:p>
    <w:p w14:paraId="110473B5" w14:textId="20E8D458" w:rsidR="006237BF" w:rsidRPr="00B61373" w:rsidRDefault="006237BF" w:rsidP="007B55D9">
      <w:pPr>
        <w:spacing w:after="100" w:line="240" w:lineRule="auto"/>
        <w:rPr>
          <w:rFonts w:eastAsia="Times New Roman" w:cs="Arial"/>
          <w:sz w:val="21"/>
          <w:szCs w:val="21"/>
          <w:lang w:eastAsia="en-AU"/>
        </w:rPr>
      </w:pPr>
    </w:p>
    <w:p w14:paraId="5152EFDF" w14:textId="53477567" w:rsidR="00815D44" w:rsidRPr="00B61373" w:rsidRDefault="00815D44" w:rsidP="001E32C6">
      <w:pPr>
        <w:pStyle w:val="Heading4"/>
        <w:rPr>
          <w:rFonts w:eastAsia="Times New Roman" w:cs="Arial"/>
          <w:lang w:eastAsia="en-AU"/>
        </w:rPr>
      </w:pPr>
      <w:bookmarkStart w:id="5" w:name="_Toc131144597"/>
      <w:r w:rsidRPr="00B61373">
        <w:rPr>
          <w:rFonts w:eastAsia="Times New Roman" w:cs="Arial"/>
          <w:lang w:eastAsia="en-AU"/>
        </w:rPr>
        <w:t>Has there ever been a finding by an Australian court of law that a magistrate or judge had a predisposition, conflict of interest, or other impediment to impartiality on aspects of an application, action or prosecution?</w:t>
      </w:r>
      <w:bookmarkEnd w:id="5"/>
    </w:p>
    <w:p w14:paraId="776FCD40" w14:textId="77777777" w:rsidR="001E32C6" w:rsidRPr="00815D44" w:rsidRDefault="001E32C6" w:rsidP="00815D44">
      <w:pPr>
        <w:spacing w:after="100" w:line="240" w:lineRule="auto"/>
        <w:rPr>
          <w:rFonts w:eastAsia="Times New Roman" w:cs="Arial"/>
          <w:sz w:val="21"/>
          <w:szCs w:val="21"/>
          <w:lang w:eastAsia="en-AU"/>
        </w:rPr>
      </w:pPr>
    </w:p>
    <w:p w14:paraId="75C91035"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Yes, there have been instances where an Australian court has found that a magistrate or judge had a predisposition, conflict of interest, or other impediment to impartiality on aspects of an application, action, or prosecution.</w:t>
      </w:r>
    </w:p>
    <w:p w14:paraId="3D7FA50F" w14:textId="416C4285" w:rsidR="00815D44" w:rsidRDefault="00815D44">
      <w:pPr>
        <w:pStyle w:val="ListParagraph"/>
        <w:numPr>
          <w:ilvl w:val="0"/>
          <w:numId w:val="13"/>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B61373">
        <w:rPr>
          <w:rFonts w:eastAsia="Times New Roman" w:cs="Arial"/>
          <w:sz w:val="22"/>
          <w:lang w:eastAsia="en-AU"/>
        </w:rPr>
        <w:t xml:space="preserve">For example, in the case of </w:t>
      </w:r>
      <w:r w:rsidRPr="0010025C">
        <w:rPr>
          <w:rFonts w:eastAsia="Times New Roman" w:cs="Arial"/>
          <w:sz w:val="22"/>
          <w:u w:val="single"/>
          <w:lang w:eastAsia="en-AU"/>
        </w:rPr>
        <w:t>Ebner v The Official Trustee in Bankruptcy (2000) 205 CLR 337,</w:t>
      </w:r>
      <w:r w:rsidRPr="00B61373">
        <w:rPr>
          <w:rFonts w:eastAsia="Times New Roman" w:cs="Arial"/>
          <w:sz w:val="22"/>
          <w:lang w:eastAsia="en-AU"/>
        </w:rPr>
        <w:t xml:space="preserve"> the High Court of Australia found that a Federal Court judge had demonstrated an apprehended bias in his decision-making by making comments during the trial that suggested a predisposition towards one of the parties. As a result, the court ordered a new trial before a different judge.</w:t>
      </w:r>
    </w:p>
    <w:p w14:paraId="7140B4AA" w14:textId="77777777" w:rsidR="0010025C" w:rsidRPr="00B61373" w:rsidRDefault="0010025C" w:rsidP="0010025C">
      <w:pPr>
        <w:pStyle w:val="ListParagraph"/>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p>
    <w:p w14:paraId="64EC0830" w14:textId="77777777" w:rsidR="00815D44" w:rsidRPr="00B61373" w:rsidRDefault="00815D44">
      <w:pPr>
        <w:pStyle w:val="ListParagraph"/>
        <w:numPr>
          <w:ilvl w:val="0"/>
          <w:numId w:val="13"/>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B61373">
        <w:rPr>
          <w:rFonts w:eastAsia="Times New Roman" w:cs="Arial"/>
          <w:sz w:val="22"/>
          <w:lang w:eastAsia="en-AU"/>
        </w:rPr>
        <w:t xml:space="preserve">In another case, the Full Court of the Supreme Court of Western Australia found that a magistrate had demonstrated an apprehended bias in his decision to dismiss a charge of common assault against a police officer, due to the magistrate's previous employment as a police officer. The court ordered a retrial before a different magistrate (see </w:t>
      </w:r>
      <w:r w:rsidRPr="0010025C">
        <w:rPr>
          <w:rFonts w:eastAsia="Times New Roman" w:cs="Arial"/>
          <w:sz w:val="22"/>
          <w:u w:val="single"/>
          <w:lang w:eastAsia="en-AU"/>
        </w:rPr>
        <w:t>R v Marsden [2009] WASCA 186</w:t>
      </w:r>
      <w:r w:rsidRPr="00B61373">
        <w:rPr>
          <w:rFonts w:eastAsia="Times New Roman" w:cs="Arial"/>
          <w:sz w:val="22"/>
          <w:lang w:eastAsia="en-AU"/>
        </w:rPr>
        <w:t>).</w:t>
      </w:r>
    </w:p>
    <w:p w14:paraId="4E030E2D"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These cases demonstrate that the courts in Australia take allegations of bias and lack of impartiality seriously and will take action to ensure that justice is done in the case. If a party believes that a magistrate or judge has a predisposition, conflict of interest, or other impediment to impartiality on aspects of an application, action, or prosecution, they can make an application to the court seeking the judge's disqualification or recusal. The application would be considered by another judge, who would determine whether the original judge should be disqualified or recused from the case.</w:t>
      </w:r>
    </w:p>
    <w:p w14:paraId="1F2703EB" w14:textId="32AB588F" w:rsidR="006237BF" w:rsidRPr="00B61373" w:rsidRDefault="006237BF" w:rsidP="007B55D9">
      <w:pPr>
        <w:spacing w:after="100" w:line="240" w:lineRule="auto"/>
        <w:rPr>
          <w:rFonts w:eastAsia="Times New Roman" w:cs="Arial"/>
          <w:sz w:val="21"/>
          <w:szCs w:val="21"/>
          <w:lang w:eastAsia="en-AU"/>
        </w:rPr>
      </w:pPr>
    </w:p>
    <w:p w14:paraId="76914C6F" w14:textId="35CCD3ED" w:rsidR="00815D44" w:rsidRPr="00B61373" w:rsidRDefault="00815D44" w:rsidP="001E32C6">
      <w:pPr>
        <w:pStyle w:val="Heading4"/>
        <w:rPr>
          <w:rFonts w:eastAsia="Times New Roman" w:cs="Arial"/>
          <w:lang w:eastAsia="en-AU"/>
        </w:rPr>
      </w:pPr>
      <w:bookmarkStart w:id="6" w:name="_Toc131144598"/>
      <w:r w:rsidRPr="00B61373">
        <w:rPr>
          <w:rFonts w:eastAsia="Times New Roman" w:cs="Arial"/>
          <w:lang w:eastAsia="en-AU"/>
        </w:rPr>
        <w:t>Has there ever been a finding by an Australian court of law that a court of law, tribunal, regulatory or administrative procedure was conducted on partisan territory or a partisan forum?</w:t>
      </w:r>
      <w:bookmarkEnd w:id="6"/>
    </w:p>
    <w:p w14:paraId="0DEAF80D" w14:textId="77777777" w:rsidR="001E32C6" w:rsidRPr="00815D44" w:rsidRDefault="001E32C6" w:rsidP="00815D44">
      <w:pPr>
        <w:spacing w:after="100" w:line="240" w:lineRule="auto"/>
        <w:rPr>
          <w:rFonts w:eastAsia="Times New Roman" w:cs="Arial"/>
          <w:sz w:val="21"/>
          <w:szCs w:val="21"/>
          <w:lang w:eastAsia="en-AU"/>
        </w:rPr>
      </w:pPr>
    </w:p>
    <w:p w14:paraId="3F2E44D2"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I am not aware of any specific instances where an Australian court has found that a court of law, tribunal, regulatory or administrative procedure was conducted on partisan territory or a partisan forum. However, it is possible that such findings have been made in specific cases.</w:t>
      </w:r>
    </w:p>
    <w:p w14:paraId="6D1307ED"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In general, the Australian legal system is designed to ensure that courts and tribunals operate in an impartial and independent manner. The judiciary is appointed on the basis of merit and must act independently of the government and other external influences. In addition, the principle of natural justice requires that parties be given a fair hearing, and that decision-makers must be impartial and unbiased in their decision-making.</w:t>
      </w:r>
    </w:p>
    <w:p w14:paraId="0E23EE8F"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 xml:space="preserve">If a party believes that a court or tribunal has been conducted on partisan territory or a partisan forum, they may be able to challenge the decision on the grounds of procedural fairness or </w:t>
      </w:r>
      <w:r w:rsidRPr="00815D44">
        <w:rPr>
          <w:rFonts w:eastAsia="Times New Roman" w:cs="Arial"/>
          <w:sz w:val="22"/>
          <w:lang w:eastAsia="en-AU"/>
        </w:rPr>
        <w:lastRenderedPageBreak/>
        <w:t>bias. This may involve making an application for judicial review or appealing the decision to a higher court. The court will then consider the evidence and make a determination based on the principles of natural justice and procedural fairness.</w:t>
      </w:r>
    </w:p>
    <w:p w14:paraId="1383A750"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Overall, the Australian legal system is designed to ensure that justice is done fairly and impartially, and any allegations of bias or lack of impartiality are taken seriously by the courts.</w:t>
      </w:r>
    </w:p>
    <w:p w14:paraId="2EF23A9D" w14:textId="77777777" w:rsidR="003E7F60" w:rsidRPr="00B61373" w:rsidRDefault="003E7F60" w:rsidP="007B55D9">
      <w:pPr>
        <w:spacing w:after="100" w:line="240" w:lineRule="auto"/>
        <w:rPr>
          <w:rFonts w:eastAsia="Times New Roman" w:cs="Arial"/>
          <w:sz w:val="21"/>
          <w:szCs w:val="21"/>
          <w:lang w:eastAsia="en-AU"/>
        </w:rPr>
      </w:pPr>
    </w:p>
    <w:p w14:paraId="03F9D718" w14:textId="4C0077A9" w:rsidR="00815D44" w:rsidRPr="00B61373" w:rsidRDefault="00815D44" w:rsidP="00815D44">
      <w:pPr>
        <w:pStyle w:val="Heading3"/>
        <w:rPr>
          <w:rFonts w:eastAsia="Times New Roman" w:cs="Arial"/>
          <w:lang w:eastAsia="en-AU"/>
        </w:rPr>
      </w:pPr>
      <w:bookmarkStart w:id="7" w:name="_Toc131144599"/>
      <w:r w:rsidRPr="00B61373">
        <w:rPr>
          <w:rFonts w:eastAsia="Times New Roman" w:cs="Arial"/>
          <w:lang w:eastAsia="en-AU"/>
        </w:rPr>
        <w:t>Actio popularis</w:t>
      </w:r>
      <w:bookmarkEnd w:id="7"/>
    </w:p>
    <w:p w14:paraId="48FB67DC" w14:textId="6FCC381D" w:rsidR="00815D44" w:rsidRPr="00B61373" w:rsidRDefault="00815D44" w:rsidP="007B55D9">
      <w:pPr>
        <w:spacing w:after="100" w:line="240" w:lineRule="auto"/>
        <w:rPr>
          <w:rFonts w:eastAsia="Times New Roman" w:cs="Arial"/>
          <w:sz w:val="21"/>
          <w:szCs w:val="21"/>
          <w:lang w:eastAsia="en-AU"/>
        </w:rPr>
      </w:pPr>
    </w:p>
    <w:p w14:paraId="11AE8B6F" w14:textId="2E517A66" w:rsidR="00815D44" w:rsidRPr="00B61373" w:rsidRDefault="00815D44" w:rsidP="001E32C6">
      <w:pPr>
        <w:pStyle w:val="Heading4"/>
        <w:rPr>
          <w:rFonts w:eastAsia="Times New Roman" w:cs="Arial"/>
          <w:lang w:eastAsia="en-AU"/>
        </w:rPr>
      </w:pPr>
      <w:bookmarkStart w:id="8" w:name="_Toc131144600"/>
      <w:r w:rsidRPr="00B61373">
        <w:rPr>
          <w:rFonts w:eastAsia="Times New Roman" w:cs="Arial"/>
          <w:lang w:eastAsia="en-AU"/>
        </w:rPr>
        <w:t>Have any cases been brought before the Australian courts in the context of actio popularis and in the public interest for relief against fundamental rights abuses of a group or class of persons?</w:t>
      </w:r>
      <w:bookmarkEnd w:id="8"/>
    </w:p>
    <w:p w14:paraId="06D15C9F" w14:textId="77777777" w:rsidR="001E32C6" w:rsidRPr="00815D44" w:rsidRDefault="001E32C6" w:rsidP="00815D44">
      <w:pPr>
        <w:spacing w:after="100" w:line="240" w:lineRule="auto"/>
        <w:rPr>
          <w:rFonts w:eastAsia="Times New Roman" w:cs="Arial"/>
          <w:sz w:val="21"/>
          <w:szCs w:val="21"/>
          <w:lang w:eastAsia="en-AU"/>
        </w:rPr>
      </w:pPr>
    </w:p>
    <w:p w14:paraId="7027CB48"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Actio popularis, which is the concept of a legal action being brought by a member of the public in the public interest, is not a recognized principle in Australian law. Unlike some civil law jurisdictions, Australian law generally requires a plaintiff to have a sufficient interest in the matter in order to bring an action.</w:t>
      </w:r>
    </w:p>
    <w:p w14:paraId="41AE7E92"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 xml:space="preserve">However, there have been cases in which groups or classes of persons have sought relief against fundamental rights abuses through representative or class action lawsuits. One example is the case of </w:t>
      </w:r>
      <w:r w:rsidRPr="0010025C">
        <w:rPr>
          <w:rFonts w:eastAsia="Times New Roman" w:cs="Arial"/>
          <w:sz w:val="22"/>
          <w:u w:val="single"/>
          <w:lang w:eastAsia="en-AU"/>
        </w:rPr>
        <w:t xml:space="preserve">Behrouz </w:t>
      </w:r>
      <w:proofErr w:type="spellStart"/>
      <w:r w:rsidRPr="0010025C">
        <w:rPr>
          <w:rFonts w:eastAsia="Times New Roman" w:cs="Arial"/>
          <w:sz w:val="22"/>
          <w:u w:val="single"/>
          <w:lang w:eastAsia="en-AU"/>
        </w:rPr>
        <w:t>Boochani</w:t>
      </w:r>
      <w:proofErr w:type="spellEnd"/>
      <w:r w:rsidRPr="0010025C">
        <w:rPr>
          <w:rFonts w:eastAsia="Times New Roman" w:cs="Arial"/>
          <w:sz w:val="22"/>
          <w:u w:val="single"/>
          <w:lang w:eastAsia="en-AU"/>
        </w:rPr>
        <w:t xml:space="preserve"> and Others v Commonwealth of Australia (No 2) [2019] FCA 784,</w:t>
      </w:r>
      <w:r w:rsidRPr="00815D44">
        <w:rPr>
          <w:rFonts w:eastAsia="Times New Roman" w:cs="Arial"/>
          <w:sz w:val="22"/>
          <w:lang w:eastAsia="en-AU"/>
        </w:rPr>
        <w:t xml:space="preserve"> in which a class action was brought on behalf of refugees and asylum seekers who were held in detention on Manus Island. The case alleged that the Australian government had breached its duty of care to the detainees and had engaged in various forms of misconduct, including false imprisonment and intentional infliction of harm.</w:t>
      </w:r>
    </w:p>
    <w:p w14:paraId="5E3A72CA" w14:textId="3F11792A"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815D44">
        <w:rPr>
          <w:rFonts w:eastAsia="Times New Roman" w:cs="Arial"/>
          <w:sz w:val="22"/>
          <w:lang w:eastAsia="en-AU"/>
        </w:rPr>
        <w:t>Another example is the class action lawsuit brought against the Australian government by members of the Stolen Generations, who were Aboriginal and Torres Strait Islander children who were forcibly removed from their families by the government between 1910 and the 1970s. The lawsuit alleged that the government had breached its duty of care to the Stolen Generations and had engaged in various forms of misconduct, including false imprisonment and intentional infliction of harm.</w:t>
      </w:r>
    </w:p>
    <w:p w14:paraId="0352A1BA"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These cases demonstrate that groups or classes of persons who have been subjected to fundamental rights abuses may seek relief through representative or class action lawsuits in the Australian courts. However, the requirements for bringing such actions are generally more stringent than in some civil law jurisdictions, and plaintiffs must demonstrate a sufficient interest in the matter in order to bring the action.</w:t>
      </w:r>
    </w:p>
    <w:p w14:paraId="08919E89" w14:textId="1C621A2D" w:rsidR="00815D44" w:rsidRPr="00B61373" w:rsidRDefault="00815D44" w:rsidP="007B55D9">
      <w:pPr>
        <w:spacing w:after="100" w:line="240" w:lineRule="auto"/>
        <w:rPr>
          <w:rFonts w:eastAsia="Times New Roman" w:cs="Arial"/>
          <w:sz w:val="22"/>
          <w:lang w:eastAsia="en-AU"/>
        </w:rPr>
      </w:pPr>
    </w:p>
    <w:p w14:paraId="5418F95F" w14:textId="1D80A8BB" w:rsidR="00815D44" w:rsidRPr="00B61373" w:rsidRDefault="00815D44" w:rsidP="001E32C6">
      <w:pPr>
        <w:pStyle w:val="Heading4"/>
        <w:rPr>
          <w:rFonts w:eastAsia="Times New Roman" w:cs="Arial"/>
          <w:lang w:eastAsia="en-AU"/>
        </w:rPr>
      </w:pPr>
      <w:bookmarkStart w:id="9" w:name="_Toc131144601"/>
      <w:r w:rsidRPr="00B61373">
        <w:rPr>
          <w:rFonts w:eastAsia="Times New Roman" w:cs="Arial"/>
          <w:lang w:eastAsia="en-AU"/>
        </w:rPr>
        <w:t>What is the best procedure to adopt under Australian law to obtain relief against fundament rights abuses by administrative bodies or organs of state against a group, class or demographic of the public or society at large?</w:t>
      </w:r>
      <w:bookmarkEnd w:id="9"/>
    </w:p>
    <w:p w14:paraId="6BD5BCB0" w14:textId="77777777" w:rsidR="001E32C6" w:rsidRPr="00815D44" w:rsidRDefault="001E32C6" w:rsidP="00815D44">
      <w:pPr>
        <w:spacing w:after="100" w:line="240" w:lineRule="auto"/>
        <w:rPr>
          <w:rFonts w:eastAsia="Times New Roman" w:cs="Arial"/>
          <w:sz w:val="21"/>
          <w:szCs w:val="21"/>
          <w:lang w:eastAsia="en-AU"/>
        </w:rPr>
      </w:pPr>
    </w:p>
    <w:p w14:paraId="5D2384E8" w14:textId="77777777" w:rsidR="00815D44" w:rsidRPr="00815D44" w:rsidRDefault="00815D44" w:rsidP="00815D44">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815D44">
        <w:rPr>
          <w:rFonts w:eastAsia="Times New Roman" w:cs="Arial"/>
          <w:sz w:val="22"/>
          <w:lang w:eastAsia="en-AU"/>
        </w:rPr>
        <w:t>If you believe that your fundamental rights or the fundamental rights of a group or class of persons have been violated by an administrative body or organ of state, there are a number of procedures available under Australian law to obtain relief. The most appropriate procedure will depend on the specific circumstances of your case, but some options to consider include:</w:t>
      </w:r>
    </w:p>
    <w:p w14:paraId="36AE987D" w14:textId="5A5FE17B"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Complaints to the relevant administrative body:</w:t>
      </w:r>
      <w:r w:rsidRPr="00815D44">
        <w:rPr>
          <w:rFonts w:eastAsia="Times New Roman" w:cs="Arial"/>
          <w:sz w:val="22"/>
          <w:lang w:eastAsia="en-AU"/>
        </w:rPr>
        <w:t xml:space="preserve"> If the alleged violation of your fundamental rights is by an administrative body, you may be able to make a complaint to that body in the first instance. Many administrative bodies have internal complaints </w:t>
      </w:r>
      <w:r w:rsidRPr="00815D44">
        <w:rPr>
          <w:rFonts w:eastAsia="Times New Roman" w:cs="Arial"/>
          <w:sz w:val="22"/>
          <w:lang w:eastAsia="en-AU"/>
        </w:rPr>
        <w:lastRenderedPageBreak/>
        <w:t>processes that you can follow, and this may be a quicker and less formal way of resolving the issue.</w:t>
      </w:r>
    </w:p>
    <w:p w14:paraId="2B5A121D"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31CD5F0" w14:textId="3975A1A0"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 xml:space="preserve">Judicial review: </w:t>
      </w:r>
      <w:r w:rsidRPr="00815D44">
        <w:rPr>
          <w:rFonts w:eastAsia="Times New Roman" w:cs="Arial"/>
          <w:sz w:val="22"/>
          <w:lang w:eastAsia="en-AU"/>
        </w:rPr>
        <w:t>If you have exhausted internal complaints processes, or if the administrative body has not provided a satisfactory resolution, you may be able to apply for judicial review of the administrative decision or action. This involves applying to a court to review the decision or action on the basis that it was unlawful, irrational, or otherwise affected by an error of law.</w:t>
      </w:r>
    </w:p>
    <w:p w14:paraId="70C64EB7"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644852EB" w14:textId="1A591117"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Human rights complaints</w:t>
      </w:r>
      <w:r w:rsidRPr="00815D44">
        <w:rPr>
          <w:rFonts w:eastAsia="Times New Roman" w:cs="Arial"/>
          <w:sz w:val="22"/>
          <w:lang w:eastAsia="en-AU"/>
        </w:rPr>
        <w:t>: If the alleged violation of your fundamental rights involves a breach of a human rights treaty or convention that Australia has ratified, you may be able to make a complaint to a human rights body such as the Australian Human Rights Commission or the United Nations Human Rights Committee.</w:t>
      </w:r>
    </w:p>
    <w:p w14:paraId="65F16257"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5A1EF71" w14:textId="2EC2EEC7" w:rsid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 xml:space="preserve">Class actions: </w:t>
      </w:r>
      <w:r w:rsidRPr="00815D44">
        <w:rPr>
          <w:rFonts w:eastAsia="Times New Roman" w:cs="Arial"/>
          <w:sz w:val="22"/>
          <w:lang w:eastAsia="en-AU"/>
        </w:rPr>
        <w:t>If the alleged violation of fundamental rights affects a group or class of persons, you may be able to bring a representative or class action lawsuit on behalf of the group or class. This involves one or more individuals representing the interests of the group or class in court.</w:t>
      </w:r>
    </w:p>
    <w:p w14:paraId="074F183F" w14:textId="77777777" w:rsidR="0010025C" w:rsidRPr="00815D44" w:rsidRDefault="0010025C" w:rsidP="0010025C">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06B955E" w14:textId="77777777" w:rsidR="00815D44" w:rsidRPr="00815D44" w:rsidRDefault="00815D44">
      <w:pPr>
        <w:numPr>
          <w:ilvl w:val="0"/>
          <w:numId w:val="7"/>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0025C">
        <w:rPr>
          <w:rFonts w:eastAsia="Times New Roman" w:cs="Arial"/>
          <w:b/>
          <w:bCs/>
          <w:sz w:val="22"/>
          <w:lang w:eastAsia="en-AU"/>
        </w:rPr>
        <w:t>Constitutional challenges:</w:t>
      </w:r>
      <w:r w:rsidRPr="00815D44">
        <w:rPr>
          <w:rFonts w:eastAsia="Times New Roman" w:cs="Arial"/>
          <w:sz w:val="22"/>
          <w:lang w:eastAsia="en-AU"/>
        </w:rPr>
        <w:t xml:space="preserve"> If the alleged violation of fundamental rights involves a breach of the Australian Constitution, you may be able to bring a constitutional challenge to the courts. This involves arguing that the law or action in question is unconstitutional and seeking a declaration of invalidity.</w:t>
      </w:r>
    </w:p>
    <w:p w14:paraId="3EC8F143" w14:textId="6E22507E" w:rsidR="00AA6C32" w:rsidRPr="0094070C" w:rsidRDefault="00815D44" w:rsidP="0094070C">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815D44">
        <w:rPr>
          <w:rFonts w:eastAsia="Times New Roman" w:cs="Arial"/>
          <w:sz w:val="22"/>
          <w:lang w:eastAsia="en-AU"/>
        </w:rPr>
        <w:t>It is important to note that these procedures can be complex and time-consuming, and it is recommended that you seek legal advice before commencing any action.</w:t>
      </w:r>
    </w:p>
    <w:p w14:paraId="4B62153B" w14:textId="77777777" w:rsidR="00AA6C32" w:rsidRPr="00B61373" w:rsidRDefault="00AA6C32" w:rsidP="007B55D9">
      <w:pPr>
        <w:spacing w:after="100" w:line="240" w:lineRule="auto"/>
        <w:rPr>
          <w:rFonts w:eastAsia="Times New Roman" w:cs="Arial"/>
          <w:sz w:val="21"/>
          <w:szCs w:val="21"/>
          <w:lang w:eastAsia="en-AU"/>
        </w:rPr>
      </w:pPr>
    </w:p>
    <w:p w14:paraId="36EA0952" w14:textId="7E84BF92" w:rsidR="001E32C6" w:rsidRDefault="00A40475" w:rsidP="00B61373">
      <w:pPr>
        <w:pStyle w:val="Heading4"/>
        <w:rPr>
          <w:rFonts w:eastAsia="Times New Roman" w:cs="Arial"/>
          <w:lang w:eastAsia="en-AU"/>
        </w:rPr>
      </w:pPr>
      <w:bookmarkStart w:id="10" w:name="_Toc131144602"/>
      <w:r w:rsidRPr="00B61373">
        <w:rPr>
          <w:rFonts w:eastAsia="Times New Roman" w:cs="Arial"/>
          <w:lang w:eastAsia="en-AU"/>
        </w:rPr>
        <w:t xml:space="preserve">To what extent does Australian law recognise and enforce the </w:t>
      </w:r>
      <w:r w:rsidR="001E32C6" w:rsidRPr="00B61373">
        <w:rPr>
          <w:rFonts w:eastAsia="Times New Roman" w:cs="Arial"/>
          <w:lang w:eastAsia="en-AU"/>
        </w:rPr>
        <w:t>Helsinki</w:t>
      </w:r>
      <w:r w:rsidRPr="00B61373">
        <w:rPr>
          <w:rFonts w:eastAsia="Times New Roman" w:cs="Arial"/>
          <w:lang w:eastAsia="en-AU"/>
        </w:rPr>
        <w:t xml:space="preserve"> Accord, UN fundamental rights treaties and instruments, the Nuremberg Code and others, and findings of the ICC?</w:t>
      </w:r>
      <w:bookmarkEnd w:id="10"/>
    </w:p>
    <w:p w14:paraId="45B642F8" w14:textId="77777777" w:rsidR="00B61373" w:rsidRPr="00B61373" w:rsidRDefault="00B61373" w:rsidP="00B61373">
      <w:pPr>
        <w:rPr>
          <w:lang w:eastAsia="en-AU"/>
        </w:rPr>
      </w:pPr>
    </w:p>
    <w:p w14:paraId="46A6722E"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A40475">
        <w:rPr>
          <w:rFonts w:eastAsia="Times New Roman" w:cs="Arial"/>
          <w:sz w:val="22"/>
          <w:lang w:eastAsia="en-AU"/>
        </w:rPr>
        <w:t xml:space="preserve">Australia has ratified a number of international treaties and instruments that recognise and protect fundamental human rights, including the International Covenant on Civil and Political Rights, the International Covenant on Economic, Social and Cultural Rights, the Convention on the Rights of the Child, and the Convention Against Torture and Other Cruel, Inhuman or Degrading Treatment or Punishment. These treaties and instruments have been incorporated into Australian law through domestic legislation, such as the </w:t>
      </w:r>
      <w:r w:rsidRPr="0010025C">
        <w:rPr>
          <w:rFonts w:eastAsia="Times New Roman" w:cs="Arial"/>
          <w:sz w:val="22"/>
          <w:u w:val="single"/>
          <w:lang w:eastAsia="en-AU"/>
        </w:rPr>
        <w:t>Human Rights (Parliamentary Scrutiny) Act 2011 (</w:t>
      </w:r>
      <w:proofErr w:type="spellStart"/>
      <w:r w:rsidRPr="0010025C">
        <w:rPr>
          <w:rFonts w:eastAsia="Times New Roman" w:cs="Arial"/>
          <w:sz w:val="22"/>
          <w:u w:val="single"/>
          <w:lang w:eastAsia="en-AU"/>
        </w:rPr>
        <w:t>Cth</w:t>
      </w:r>
      <w:proofErr w:type="spellEnd"/>
      <w:r w:rsidRPr="0010025C">
        <w:rPr>
          <w:rFonts w:eastAsia="Times New Roman" w:cs="Arial"/>
          <w:sz w:val="22"/>
          <w:u w:val="single"/>
          <w:lang w:eastAsia="en-AU"/>
        </w:rPr>
        <w:t>)</w:t>
      </w:r>
      <w:r w:rsidRPr="00A40475">
        <w:rPr>
          <w:rFonts w:eastAsia="Times New Roman" w:cs="Arial"/>
          <w:sz w:val="22"/>
          <w:lang w:eastAsia="en-AU"/>
        </w:rPr>
        <w:t xml:space="preserve"> and the </w:t>
      </w:r>
      <w:r w:rsidRPr="0010025C">
        <w:rPr>
          <w:rFonts w:eastAsia="Times New Roman" w:cs="Arial"/>
          <w:sz w:val="22"/>
          <w:u w:val="single"/>
          <w:lang w:eastAsia="en-AU"/>
        </w:rPr>
        <w:t>Racial Discrimination Act 1975 (</w:t>
      </w:r>
      <w:proofErr w:type="spellStart"/>
      <w:r w:rsidRPr="0010025C">
        <w:rPr>
          <w:rFonts w:eastAsia="Times New Roman" w:cs="Arial"/>
          <w:sz w:val="22"/>
          <w:u w:val="single"/>
          <w:lang w:eastAsia="en-AU"/>
        </w:rPr>
        <w:t>Cth</w:t>
      </w:r>
      <w:proofErr w:type="spellEnd"/>
      <w:r w:rsidRPr="0010025C">
        <w:rPr>
          <w:rFonts w:eastAsia="Times New Roman" w:cs="Arial"/>
          <w:sz w:val="22"/>
          <w:u w:val="single"/>
          <w:lang w:eastAsia="en-AU"/>
        </w:rPr>
        <w:t>)</w:t>
      </w:r>
      <w:r w:rsidRPr="00A40475">
        <w:rPr>
          <w:rFonts w:eastAsia="Times New Roman" w:cs="Arial"/>
          <w:sz w:val="22"/>
          <w:lang w:eastAsia="en-AU"/>
        </w:rPr>
        <w:t>.</w:t>
      </w:r>
    </w:p>
    <w:p w14:paraId="7A773848"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Australia is also a party to the </w:t>
      </w:r>
      <w:r w:rsidRPr="000E271D">
        <w:rPr>
          <w:rFonts w:eastAsia="Times New Roman" w:cs="Arial"/>
          <w:b/>
          <w:bCs/>
          <w:sz w:val="22"/>
          <w:u w:val="single"/>
          <w:lang w:eastAsia="en-AU"/>
        </w:rPr>
        <w:t>Rome Statute of the International Criminal Court (ICC)</w:t>
      </w:r>
      <w:r w:rsidRPr="00A40475">
        <w:rPr>
          <w:rFonts w:eastAsia="Times New Roman" w:cs="Arial"/>
          <w:sz w:val="22"/>
          <w:lang w:eastAsia="en-AU"/>
        </w:rPr>
        <w:t>, which established the ICC to investigate and prosecute individuals for the most serious crimes of international concern, including genocide, crimes against humanity, and war crimes. While the ICC is an independent international court, its decisions and findings can have implications for domestic law.</w:t>
      </w:r>
    </w:p>
    <w:p w14:paraId="4AB71FBC"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The </w:t>
      </w:r>
      <w:r w:rsidRPr="000E271D">
        <w:rPr>
          <w:rFonts w:eastAsia="Times New Roman" w:cs="Arial"/>
          <w:b/>
          <w:bCs/>
          <w:sz w:val="22"/>
          <w:lang w:eastAsia="en-AU"/>
        </w:rPr>
        <w:t>Nuremberg Code</w:t>
      </w:r>
      <w:r w:rsidRPr="00A40475">
        <w:rPr>
          <w:rFonts w:eastAsia="Times New Roman" w:cs="Arial"/>
          <w:sz w:val="22"/>
          <w:lang w:eastAsia="en-AU"/>
        </w:rPr>
        <w:t xml:space="preserve"> is a set of ethical principles for medical research involving human subjects that was established in the aftermath of the Second World War. While the Nuremberg Code is not incorporated into Australian law, its principles have influenced the development of international and domestic ethical guidelines for medical research.</w:t>
      </w:r>
    </w:p>
    <w:p w14:paraId="6E49599E"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The </w:t>
      </w:r>
      <w:r w:rsidRPr="000E271D">
        <w:rPr>
          <w:rFonts w:eastAsia="Times New Roman" w:cs="Arial"/>
          <w:b/>
          <w:bCs/>
          <w:sz w:val="22"/>
          <w:lang w:eastAsia="en-AU"/>
        </w:rPr>
        <w:t>Helsinki Accords</w:t>
      </w:r>
      <w:r w:rsidRPr="00A40475">
        <w:rPr>
          <w:rFonts w:eastAsia="Times New Roman" w:cs="Arial"/>
          <w:sz w:val="22"/>
          <w:lang w:eastAsia="en-AU"/>
        </w:rPr>
        <w:t xml:space="preserve">, also known as the </w:t>
      </w:r>
      <w:r w:rsidRPr="0010025C">
        <w:rPr>
          <w:rFonts w:eastAsia="Times New Roman" w:cs="Arial"/>
          <w:sz w:val="22"/>
          <w:u w:val="single"/>
          <w:lang w:eastAsia="en-AU"/>
        </w:rPr>
        <w:t>Helsinki Final Act</w:t>
      </w:r>
      <w:r w:rsidRPr="00A40475">
        <w:rPr>
          <w:rFonts w:eastAsia="Times New Roman" w:cs="Arial"/>
          <w:sz w:val="22"/>
          <w:lang w:eastAsia="en-AU"/>
        </w:rPr>
        <w:t xml:space="preserve">, is a declaration signed by the participating states of the Conference on Security and Cooperation in Europe in 1975. The Helsinki Accords is not a legally binding treaty, but it sets out a range of principles and commitments related to human rights, including freedom of thought, conscience, religion or </w:t>
      </w:r>
      <w:r w:rsidRPr="00A40475">
        <w:rPr>
          <w:rFonts w:eastAsia="Times New Roman" w:cs="Arial"/>
          <w:sz w:val="22"/>
          <w:lang w:eastAsia="en-AU"/>
        </w:rPr>
        <w:lastRenderedPageBreak/>
        <w:t>belief, and peaceful assembly and association. While the Helsinki Accords are not directly incorporated into Australian law, Australia has endorsed the principles contained in the Accords.</w:t>
      </w:r>
    </w:p>
    <w:p w14:paraId="0EFFF8F0"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A40475">
        <w:rPr>
          <w:rFonts w:eastAsia="Times New Roman" w:cs="Arial"/>
          <w:sz w:val="22"/>
          <w:lang w:eastAsia="en-AU"/>
        </w:rPr>
        <w:t>In summary, Australia recognises and enforces a range of international treaties, instruments, and ethical principles that protect fundamental human rights. While the extent of enforcement may vary depending on the specific treaty or instrument, Australia is generally committed to upholding its obligations under international law.</w:t>
      </w:r>
    </w:p>
    <w:p w14:paraId="15C2D59F" w14:textId="49B1EB94" w:rsidR="00815D44" w:rsidRPr="00B61373" w:rsidRDefault="00815D44" w:rsidP="007B55D9">
      <w:pPr>
        <w:spacing w:after="100" w:line="240" w:lineRule="auto"/>
        <w:rPr>
          <w:rFonts w:eastAsia="Times New Roman" w:cs="Arial"/>
          <w:sz w:val="21"/>
          <w:szCs w:val="21"/>
          <w:lang w:eastAsia="en-AU"/>
        </w:rPr>
      </w:pPr>
    </w:p>
    <w:p w14:paraId="52EA1A1B" w14:textId="0A479959" w:rsidR="00A40475" w:rsidRPr="00B61373" w:rsidRDefault="00A40475" w:rsidP="001E32C6">
      <w:pPr>
        <w:pStyle w:val="Heading4"/>
        <w:rPr>
          <w:rFonts w:eastAsia="Times New Roman" w:cs="Arial"/>
          <w:lang w:eastAsia="en-AU"/>
        </w:rPr>
      </w:pPr>
      <w:bookmarkStart w:id="11" w:name="_Toc131144603"/>
      <w:r w:rsidRPr="00B61373">
        <w:rPr>
          <w:rFonts w:eastAsia="Times New Roman" w:cs="Arial"/>
          <w:lang w:eastAsia="en-AU"/>
        </w:rPr>
        <w:t>H</w:t>
      </w:r>
      <w:r w:rsidR="001E32C6" w:rsidRPr="00B61373">
        <w:rPr>
          <w:rFonts w:eastAsia="Times New Roman" w:cs="Arial"/>
          <w:lang w:eastAsia="en-AU"/>
        </w:rPr>
        <w:t>a</w:t>
      </w:r>
      <w:r w:rsidRPr="00B61373">
        <w:rPr>
          <w:rFonts w:eastAsia="Times New Roman" w:cs="Arial"/>
          <w:lang w:eastAsia="en-AU"/>
        </w:rPr>
        <w:t>s Australia ever declared itself to be a secular state?</w:t>
      </w:r>
      <w:bookmarkEnd w:id="11"/>
    </w:p>
    <w:p w14:paraId="4115AB96" w14:textId="77777777" w:rsidR="001E32C6" w:rsidRPr="00A40475" w:rsidRDefault="001E32C6" w:rsidP="00A40475">
      <w:pPr>
        <w:spacing w:after="100" w:line="240" w:lineRule="auto"/>
        <w:rPr>
          <w:rFonts w:eastAsia="Times New Roman" w:cs="Arial"/>
          <w:sz w:val="21"/>
          <w:szCs w:val="21"/>
          <w:lang w:eastAsia="en-AU"/>
        </w:rPr>
      </w:pPr>
    </w:p>
    <w:p w14:paraId="79F86ECC"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A40475">
        <w:rPr>
          <w:rFonts w:eastAsia="Times New Roman" w:cs="Arial"/>
          <w:sz w:val="22"/>
          <w:lang w:eastAsia="en-AU"/>
        </w:rPr>
        <w:t xml:space="preserve">Australia does not have an official state religion and the Australian Constitution prohibits the establishment of a state religion. However, the </w:t>
      </w:r>
      <w:r w:rsidRPr="000E271D">
        <w:rPr>
          <w:rFonts w:eastAsia="Times New Roman" w:cs="Arial"/>
          <w:sz w:val="22"/>
          <w:u w:val="single"/>
          <w:lang w:eastAsia="en-AU"/>
        </w:rPr>
        <w:t>Constitution</w:t>
      </w:r>
      <w:r w:rsidRPr="00A40475">
        <w:rPr>
          <w:rFonts w:eastAsia="Times New Roman" w:cs="Arial"/>
          <w:sz w:val="22"/>
          <w:lang w:eastAsia="en-AU"/>
        </w:rPr>
        <w:t xml:space="preserve"> does contain a provision regarding </w:t>
      </w:r>
      <w:r w:rsidRPr="000E271D">
        <w:rPr>
          <w:rFonts w:eastAsia="Times New Roman" w:cs="Arial"/>
          <w:sz w:val="22"/>
          <w:u w:val="single"/>
          <w:lang w:eastAsia="en-AU"/>
        </w:rPr>
        <w:t>religious freedom in section 116</w:t>
      </w:r>
      <w:r w:rsidRPr="00A40475">
        <w:rPr>
          <w:rFonts w:eastAsia="Times New Roman" w:cs="Arial"/>
          <w:sz w:val="22"/>
          <w:lang w:eastAsia="en-AU"/>
        </w:rPr>
        <w:t>, which states that the Commonwealth shall not make any law for establishing any religion, imposing any religious observance, or prohibiting the free exercise of any religion.</w:t>
      </w:r>
    </w:p>
    <w:p w14:paraId="4ABF8504"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While Australia does not have an official declaration of secularism, the Australian legal system is generally considered to be secular in nature, with laws and policies being based on secular principles rather than religious doctrine. The government and public institutions are expected to operate in a secular manner, free from religious influence, and religious beliefs are not a factor in legal proceedings or decision-making.</w:t>
      </w:r>
    </w:p>
    <w:p w14:paraId="7A7CCCC0" w14:textId="43CC865A" w:rsidR="0094070C" w:rsidRPr="003E7F60" w:rsidRDefault="00A40475" w:rsidP="003E7F60">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A40475">
        <w:rPr>
          <w:rFonts w:eastAsia="Times New Roman" w:cs="Arial"/>
          <w:sz w:val="22"/>
          <w:lang w:eastAsia="en-AU"/>
        </w:rPr>
        <w:t>In recent years, there have been debates about the role of religion in Australian public life, particularly in relation to issues such as same-sex marriage and religious exemptions to anti-discrimination laws. However, the overall trend in Australia has been towards greater secularisation and the protection of individual rights and freedoms, including the freedom of religion and belief.</w:t>
      </w:r>
    </w:p>
    <w:p w14:paraId="6E31066F" w14:textId="77777777" w:rsidR="0094070C" w:rsidRPr="00B61373" w:rsidRDefault="0094070C" w:rsidP="007B55D9">
      <w:pPr>
        <w:spacing w:after="100" w:line="240" w:lineRule="auto"/>
        <w:rPr>
          <w:rFonts w:eastAsia="Times New Roman" w:cs="Arial"/>
          <w:sz w:val="21"/>
          <w:szCs w:val="21"/>
          <w:lang w:eastAsia="en-AU"/>
        </w:rPr>
      </w:pPr>
    </w:p>
    <w:p w14:paraId="0FBB0D72" w14:textId="5B0F2335" w:rsidR="006237BF" w:rsidRPr="00B61373" w:rsidRDefault="006237BF" w:rsidP="006237BF">
      <w:pPr>
        <w:pStyle w:val="Heading3"/>
        <w:rPr>
          <w:rFonts w:eastAsia="Times New Roman" w:cs="Arial"/>
          <w:lang w:eastAsia="en-AU"/>
        </w:rPr>
      </w:pPr>
      <w:bookmarkStart w:id="12" w:name="_Toc131144604"/>
      <w:r w:rsidRPr="00B61373">
        <w:rPr>
          <w:rFonts w:eastAsia="Times New Roman" w:cs="Arial"/>
          <w:lang w:eastAsia="en-AU"/>
        </w:rPr>
        <w:t>Relief – Australian law</w:t>
      </w:r>
      <w:bookmarkEnd w:id="12"/>
    </w:p>
    <w:p w14:paraId="6EC68636" w14:textId="77777777" w:rsidR="006237BF" w:rsidRPr="00B61373" w:rsidRDefault="006237BF" w:rsidP="006237BF">
      <w:pPr>
        <w:rPr>
          <w:rFonts w:cs="Arial"/>
          <w:lang w:eastAsia="en-AU"/>
        </w:rPr>
      </w:pPr>
    </w:p>
    <w:p w14:paraId="3797314B" w14:textId="68A71151" w:rsidR="00C65FD9" w:rsidRPr="00B61373" w:rsidRDefault="00C65FD9" w:rsidP="001E32C6">
      <w:pPr>
        <w:pStyle w:val="Heading4"/>
        <w:rPr>
          <w:rFonts w:eastAsia="Times New Roman" w:cs="Arial"/>
          <w:lang w:eastAsia="en-AU"/>
        </w:rPr>
      </w:pPr>
      <w:bookmarkStart w:id="13" w:name="_Toc131144605"/>
      <w:r w:rsidRPr="00B61373">
        <w:rPr>
          <w:rFonts w:eastAsia="Times New Roman" w:cs="Arial"/>
          <w:lang w:eastAsia="en-AU"/>
        </w:rPr>
        <w:t>Are there examples of applications for relief against fundamental rights abused by administrative bodies and organs of state based on precedents and judgments in Australian law? If so, can you provide some examples?</w:t>
      </w:r>
      <w:bookmarkEnd w:id="13"/>
    </w:p>
    <w:p w14:paraId="6C504995" w14:textId="77777777" w:rsidR="001E32C6" w:rsidRPr="00C65FD9" w:rsidRDefault="001E32C6" w:rsidP="00C65FD9">
      <w:pPr>
        <w:spacing w:after="100" w:line="240" w:lineRule="auto"/>
        <w:rPr>
          <w:rFonts w:eastAsia="Times New Roman" w:cs="Arial"/>
          <w:color w:val="000000"/>
          <w:sz w:val="27"/>
          <w:szCs w:val="27"/>
          <w:lang w:eastAsia="en-AU"/>
        </w:rPr>
      </w:pPr>
    </w:p>
    <w:p w14:paraId="3E4AD21A"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color w:val="000000"/>
          <w:sz w:val="22"/>
          <w:lang w:eastAsia="en-AU"/>
        </w:rPr>
      </w:pPr>
      <w:r w:rsidRPr="00C65FD9">
        <w:rPr>
          <w:rFonts w:eastAsia="Times New Roman" w:cs="Arial"/>
          <w:color w:val="000000"/>
          <w:sz w:val="22"/>
          <w:lang w:eastAsia="en-AU"/>
        </w:rPr>
        <w:t>Yes, there are many examples of applications for relief against fundamental rights abuses by administrative bodies and organs of state in Australian law. Here are a few examples of cases where the courts have provided relief for such abuses based on precedents and judgments:</w:t>
      </w:r>
    </w:p>
    <w:p w14:paraId="576B10B3" w14:textId="3028F558" w:rsid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Minister for Immigration and</w:t>
      </w:r>
      <w:r w:rsidRPr="00C65FD9">
        <w:rPr>
          <w:rFonts w:eastAsia="Times New Roman" w:cs="Arial"/>
          <w:color w:val="000000"/>
          <w:sz w:val="22"/>
          <w:lang w:eastAsia="en-AU"/>
        </w:rPr>
        <w:t xml:space="preserve"> </w:t>
      </w:r>
      <w:r w:rsidRPr="000E271D">
        <w:rPr>
          <w:rFonts w:eastAsia="Times New Roman" w:cs="Arial"/>
          <w:color w:val="000000"/>
          <w:sz w:val="22"/>
          <w:u w:val="single"/>
          <w:lang w:eastAsia="en-AU"/>
        </w:rPr>
        <w:t>Citizenship v SZMDS (2010) 240 CLR 611</w:t>
      </w:r>
      <w:r w:rsidRPr="00C65FD9">
        <w:rPr>
          <w:rFonts w:eastAsia="Times New Roman" w:cs="Arial"/>
          <w:color w:val="000000"/>
          <w:sz w:val="22"/>
          <w:lang w:eastAsia="en-AU"/>
        </w:rPr>
        <w:t>: In this case, the High Court of Australia held that the Minister for Immigration and Citizenship had breached procedural fairness by failing to give the applicant a fair opportunity to respond to adverse information before making a decision to refuse his application for a protection visa.</w:t>
      </w:r>
    </w:p>
    <w:p w14:paraId="2E58EE90" w14:textId="77777777" w:rsidR="000E271D" w:rsidRPr="00C65FD9" w:rsidRDefault="000E271D" w:rsidP="000E271D">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color w:val="000000"/>
          <w:sz w:val="22"/>
          <w:lang w:eastAsia="en-AU"/>
        </w:rPr>
      </w:pPr>
    </w:p>
    <w:p w14:paraId="416C9A63" w14:textId="24C4C9A1" w:rsid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Plaintiff M68/2015 v Minister for Immigration and Border Protection [2016] HCA 1:</w:t>
      </w:r>
      <w:r w:rsidRPr="00C65FD9">
        <w:rPr>
          <w:rFonts w:eastAsia="Times New Roman" w:cs="Arial"/>
          <w:color w:val="000000"/>
          <w:sz w:val="22"/>
          <w:lang w:eastAsia="en-AU"/>
        </w:rPr>
        <w:t xml:space="preserve"> In this case, the High Court of Australia held that the detention of asylum seekers on Manus Island and Nauru was lawful under Australian law, but that the processing of their claims for asylum must comply with Australian law and respect Australia's international obligations.</w:t>
      </w:r>
    </w:p>
    <w:p w14:paraId="2C77EB9F" w14:textId="77777777" w:rsidR="000E271D" w:rsidRPr="00C65FD9" w:rsidRDefault="000E271D" w:rsidP="000E271D">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p>
    <w:p w14:paraId="7E6BAF5D" w14:textId="30E24095" w:rsid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proofErr w:type="spellStart"/>
      <w:r w:rsidRPr="000E271D">
        <w:rPr>
          <w:rFonts w:eastAsia="Times New Roman" w:cs="Arial"/>
          <w:color w:val="000000"/>
          <w:sz w:val="22"/>
          <w:u w:val="single"/>
          <w:lang w:eastAsia="en-AU"/>
        </w:rPr>
        <w:lastRenderedPageBreak/>
        <w:t>Momcilovic</w:t>
      </w:r>
      <w:proofErr w:type="spellEnd"/>
      <w:r w:rsidRPr="000E271D">
        <w:rPr>
          <w:rFonts w:eastAsia="Times New Roman" w:cs="Arial"/>
          <w:color w:val="000000"/>
          <w:sz w:val="22"/>
          <w:u w:val="single"/>
          <w:lang w:eastAsia="en-AU"/>
        </w:rPr>
        <w:t xml:space="preserve"> v The Queen (2011) 245 CLR 1</w:t>
      </w:r>
      <w:r w:rsidRPr="00C65FD9">
        <w:rPr>
          <w:rFonts w:eastAsia="Times New Roman" w:cs="Arial"/>
          <w:color w:val="000000"/>
          <w:sz w:val="22"/>
          <w:lang w:eastAsia="en-AU"/>
        </w:rPr>
        <w:t>: In this case, the High Court of Australia held that certain provisions of the Charter of Human Rights and Responsibilities Act 2006 (Vic) were invalid because they were inconsistent with the Australian Constitution, but that the Charter nonetheless provided guidance for the interpretation of Victorian legislation.</w:t>
      </w:r>
    </w:p>
    <w:p w14:paraId="72D472E9" w14:textId="77777777" w:rsidR="000E271D" w:rsidRPr="00C65FD9" w:rsidRDefault="000E271D" w:rsidP="000E271D">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p>
    <w:p w14:paraId="0433761B" w14:textId="77777777" w:rsidR="00C65FD9" w:rsidRPr="00C65FD9" w:rsidRDefault="00C65FD9">
      <w:pPr>
        <w:numPr>
          <w:ilvl w:val="0"/>
          <w:numId w:val="6"/>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color w:val="000000"/>
          <w:sz w:val="22"/>
          <w:lang w:eastAsia="en-AU"/>
        </w:rPr>
      </w:pPr>
      <w:r w:rsidRPr="000E271D">
        <w:rPr>
          <w:rFonts w:eastAsia="Times New Roman" w:cs="Arial"/>
          <w:color w:val="000000"/>
          <w:sz w:val="22"/>
          <w:u w:val="single"/>
          <w:lang w:eastAsia="en-AU"/>
        </w:rPr>
        <w:t>Plaintiff S195/2016 v Minister for Immigration and Border Protection [2017] HCA 50</w:t>
      </w:r>
      <w:r w:rsidRPr="00C65FD9">
        <w:rPr>
          <w:rFonts w:eastAsia="Times New Roman" w:cs="Arial"/>
          <w:color w:val="000000"/>
          <w:sz w:val="22"/>
          <w:lang w:eastAsia="en-AU"/>
        </w:rPr>
        <w:t>: In this case, the High Court of Australia held that the detention of a plaintiff who had been declared a security risk was unlawful because the detention was not authorized by Australian law.</w:t>
      </w:r>
    </w:p>
    <w:p w14:paraId="45468BE7"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color w:val="000000"/>
          <w:sz w:val="22"/>
          <w:lang w:eastAsia="en-AU"/>
        </w:rPr>
      </w:pPr>
      <w:r w:rsidRPr="00C65FD9">
        <w:rPr>
          <w:rFonts w:eastAsia="Times New Roman" w:cs="Arial"/>
          <w:color w:val="000000"/>
          <w:sz w:val="22"/>
          <w:lang w:eastAsia="en-AU"/>
        </w:rPr>
        <w:t>These are just a few examples of cases where the courts in Australia have provided relief against fundamental rights abuses by administrative bodies and organs of state. In general, Australian law provides various avenues for seeking relief against such abuses, including judicial review, statutory complaints mechanisms, and common law remedies.</w:t>
      </w:r>
    </w:p>
    <w:p w14:paraId="3E71E932" w14:textId="77777777" w:rsidR="00C65FD9" w:rsidRPr="00C65FD9" w:rsidRDefault="00C65FD9" w:rsidP="00C65FD9">
      <w:pPr>
        <w:pBdr>
          <w:bottom w:val="single" w:sz="6" w:space="1" w:color="auto"/>
        </w:pBdr>
        <w:spacing w:after="0" w:line="240" w:lineRule="auto"/>
        <w:jc w:val="center"/>
        <w:rPr>
          <w:rFonts w:eastAsia="Times New Roman" w:cs="Arial"/>
          <w:vanish/>
          <w:sz w:val="16"/>
          <w:szCs w:val="16"/>
          <w:lang w:eastAsia="en-AU"/>
        </w:rPr>
      </w:pPr>
      <w:r w:rsidRPr="00C65FD9">
        <w:rPr>
          <w:rFonts w:eastAsia="Times New Roman" w:cs="Arial"/>
          <w:vanish/>
          <w:sz w:val="16"/>
          <w:szCs w:val="16"/>
          <w:lang w:eastAsia="en-AU"/>
        </w:rPr>
        <w:t>Top of Form</w:t>
      </w:r>
    </w:p>
    <w:p w14:paraId="631A2944" w14:textId="77777777" w:rsidR="00AA6C32" w:rsidRPr="00AA6C32" w:rsidRDefault="00AA6C32" w:rsidP="00AA6C32">
      <w:pPr>
        <w:rPr>
          <w:lang w:eastAsia="en-AU"/>
        </w:rPr>
      </w:pPr>
    </w:p>
    <w:p w14:paraId="2DF64A32" w14:textId="6EE59D9A" w:rsidR="006237BF" w:rsidRPr="00B61373" w:rsidRDefault="006237BF" w:rsidP="006237BF">
      <w:pPr>
        <w:pStyle w:val="Heading3"/>
        <w:rPr>
          <w:rFonts w:eastAsia="Times New Roman" w:cs="Arial"/>
          <w:lang w:eastAsia="en-AU"/>
        </w:rPr>
      </w:pPr>
      <w:bookmarkStart w:id="14" w:name="_Toc131144606"/>
      <w:r w:rsidRPr="00B61373">
        <w:rPr>
          <w:rFonts w:eastAsia="Times New Roman" w:cs="Arial"/>
          <w:lang w:eastAsia="en-AU"/>
        </w:rPr>
        <w:t>Rule Nisi</w:t>
      </w:r>
      <w:bookmarkEnd w:id="14"/>
    </w:p>
    <w:p w14:paraId="08F053D7" w14:textId="77777777" w:rsidR="006237BF" w:rsidRPr="00B61373" w:rsidRDefault="006237BF" w:rsidP="006237BF">
      <w:pPr>
        <w:rPr>
          <w:rFonts w:cs="Arial"/>
          <w:lang w:eastAsia="en-AU"/>
        </w:rPr>
      </w:pPr>
    </w:p>
    <w:p w14:paraId="7BA3E35D" w14:textId="77D291EB" w:rsidR="00C65FD9" w:rsidRPr="00B61373" w:rsidRDefault="00C65FD9" w:rsidP="001E32C6">
      <w:pPr>
        <w:pStyle w:val="Heading4"/>
        <w:rPr>
          <w:rFonts w:eastAsia="Times New Roman" w:cs="Arial"/>
          <w:lang w:eastAsia="en-AU"/>
        </w:rPr>
      </w:pPr>
      <w:bookmarkStart w:id="15" w:name="_Toc131144607"/>
      <w:r w:rsidRPr="00B61373">
        <w:rPr>
          <w:rFonts w:eastAsia="Times New Roman" w:cs="Arial"/>
          <w:lang w:eastAsia="en-AU"/>
        </w:rPr>
        <w:t>Where there any applications for a rule nisi to ensue for the respondent to show cause why they should not be suspended from holding office or issuing any further directives until a finding or declaration of rights has been made by the court?</w:t>
      </w:r>
      <w:bookmarkEnd w:id="15"/>
    </w:p>
    <w:p w14:paraId="6434D31D" w14:textId="77777777" w:rsidR="001E32C6" w:rsidRPr="00C65FD9" w:rsidRDefault="001E32C6" w:rsidP="00C65FD9">
      <w:pPr>
        <w:spacing w:after="100" w:line="240" w:lineRule="auto"/>
        <w:rPr>
          <w:rFonts w:eastAsia="Times New Roman" w:cs="Arial"/>
          <w:sz w:val="21"/>
          <w:szCs w:val="21"/>
          <w:lang w:eastAsia="en-AU"/>
        </w:rPr>
      </w:pPr>
    </w:p>
    <w:p w14:paraId="59565BE6"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C65FD9">
        <w:rPr>
          <w:rFonts w:eastAsia="Times New Roman" w:cs="Arial"/>
          <w:sz w:val="22"/>
          <w:lang w:eastAsia="en-AU"/>
        </w:rPr>
        <w:t>Yes, there have been applications for a rule nisi to ensue for the respondent to show cause why they should not be suspended from holding office or issuing any further directives until a finding or declaration of rights has been made by the court in Australia.</w:t>
      </w:r>
    </w:p>
    <w:p w14:paraId="61105CCC"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For example, in the case of </w:t>
      </w:r>
      <w:proofErr w:type="spellStart"/>
      <w:r w:rsidRPr="000E271D">
        <w:rPr>
          <w:rFonts w:eastAsia="Times New Roman" w:cs="Arial"/>
          <w:sz w:val="22"/>
          <w:u w:val="single"/>
          <w:lang w:eastAsia="en-AU"/>
        </w:rPr>
        <w:t>Rizeq</w:t>
      </w:r>
      <w:proofErr w:type="spellEnd"/>
      <w:r w:rsidRPr="000E271D">
        <w:rPr>
          <w:rFonts w:eastAsia="Times New Roman" w:cs="Arial"/>
          <w:sz w:val="22"/>
          <w:u w:val="single"/>
          <w:lang w:eastAsia="en-AU"/>
        </w:rPr>
        <w:t xml:space="preserve"> v Western Australia (2008) 232 CLR 640</w:t>
      </w:r>
      <w:r w:rsidRPr="00C65FD9">
        <w:rPr>
          <w:rFonts w:eastAsia="Times New Roman" w:cs="Arial"/>
          <w:sz w:val="22"/>
          <w:lang w:eastAsia="en-AU"/>
        </w:rPr>
        <w:t xml:space="preserve">, the plaintiff brought an action against the </w:t>
      </w:r>
      <w:r w:rsidRPr="004F4037">
        <w:rPr>
          <w:rFonts w:eastAsia="Times New Roman" w:cs="Arial"/>
          <w:b/>
          <w:bCs/>
          <w:sz w:val="22"/>
          <w:lang w:eastAsia="en-AU"/>
        </w:rPr>
        <w:t>Western Australian Police Commissioner</w:t>
      </w:r>
      <w:r w:rsidRPr="00C65FD9">
        <w:rPr>
          <w:rFonts w:eastAsia="Times New Roman" w:cs="Arial"/>
          <w:sz w:val="22"/>
          <w:lang w:eastAsia="en-AU"/>
        </w:rPr>
        <w:t>, alleging that he had been unlawfully arrested and detained. The plaintiff sought a declaration that his rights had been violated and an injunction to prevent the Police Commissioner from carrying out similar actions in the future. The plaintiff also sought a rule nisi to be issued against the Police Commissioner, requiring him to show cause why he should not be suspended from his position pending the outcome of the case.</w:t>
      </w:r>
    </w:p>
    <w:p w14:paraId="4BC4DA92"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The High Court of Australia ultimately rejected the plaintiff's application for a rule nisi, holding that such a remedy was not appropriate in the circumstances of the case. However, the court did grant the plaintiff's request for a declaration and an injunction.</w:t>
      </w:r>
    </w:p>
    <w:p w14:paraId="1E68A1D0" w14:textId="7408C769" w:rsidR="00496D3F" w:rsidRPr="00C65FD9" w:rsidRDefault="00C65FD9" w:rsidP="00C65F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C65FD9">
        <w:rPr>
          <w:rFonts w:eastAsia="Times New Roman" w:cs="Arial"/>
          <w:sz w:val="22"/>
          <w:lang w:eastAsia="en-AU"/>
        </w:rPr>
        <w:t>In general, applications for a rule nisi to suspend an official or prevent them from issuing further directives are relatively rare in Australian law, as such remedies are seen as drastic and only appropriate in exceptional circumstances. However, where there is evidence of serious misconduct or fundamental rights violations, the courts may consider such remedies to be necessary to protect the interests of justice.</w:t>
      </w:r>
    </w:p>
    <w:p w14:paraId="087006D3" w14:textId="190D8FDF" w:rsidR="00C65FD9" w:rsidRPr="00B61373" w:rsidRDefault="00C65FD9" w:rsidP="007B55D9">
      <w:pPr>
        <w:spacing w:after="100" w:line="240" w:lineRule="auto"/>
        <w:rPr>
          <w:rFonts w:eastAsia="Times New Roman" w:cs="Arial"/>
          <w:sz w:val="21"/>
          <w:szCs w:val="21"/>
          <w:lang w:eastAsia="en-AU"/>
        </w:rPr>
      </w:pPr>
    </w:p>
    <w:p w14:paraId="5D14F69E" w14:textId="71DE01D7" w:rsidR="006237BF" w:rsidRPr="00B61373" w:rsidRDefault="006237BF" w:rsidP="001E32C6">
      <w:pPr>
        <w:pStyle w:val="Heading4"/>
        <w:rPr>
          <w:rFonts w:eastAsia="Times New Roman" w:cs="Arial"/>
          <w:lang w:eastAsia="en-AU"/>
        </w:rPr>
      </w:pPr>
      <w:bookmarkStart w:id="16" w:name="_Toc131144608"/>
      <w:r w:rsidRPr="00B61373">
        <w:rPr>
          <w:rFonts w:eastAsia="Times New Roman" w:cs="Arial"/>
          <w:lang w:eastAsia="en-AU"/>
        </w:rPr>
        <w:t>Where there any applications for a rule nisi to ensue for the respondent to show cause why they should not be ordered to make immediate adjustments to policies intruding on the fundamental rights of individuals or a group of individuals?</w:t>
      </w:r>
      <w:bookmarkEnd w:id="16"/>
    </w:p>
    <w:p w14:paraId="6CF992AF" w14:textId="77777777" w:rsidR="001E32C6" w:rsidRPr="006237BF" w:rsidRDefault="001E32C6" w:rsidP="006237BF">
      <w:pPr>
        <w:spacing w:after="100" w:line="240" w:lineRule="auto"/>
        <w:rPr>
          <w:rFonts w:eastAsia="Times New Roman" w:cs="Arial"/>
          <w:sz w:val="21"/>
          <w:szCs w:val="21"/>
          <w:lang w:eastAsia="en-AU"/>
        </w:rPr>
      </w:pPr>
    </w:p>
    <w:p w14:paraId="0845ECBC"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6237BF">
        <w:rPr>
          <w:rFonts w:eastAsia="Times New Roman" w:cs="Arial"/>
          <w:sz w:val="22"/>
          <w:lang w:eastAsia="en-AU"/>
        </w:rPr>
        <w:lastRenderedPageBreak/>
        <w:t>Yes, there have been applications for a rule nisi to ensue for the respondent to show cause why they should not be ordered to make immediate adjustments to policies intruding on the fundamental rights of individuals or a group of individuals in Australia.</w:t>
      </w:r>
    </w:p>
    <w:p w14:paraId="7D9799E5"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 xml:space="preserve">One such example is the case of </w:t>
      </w:r>
      <w:r w:rsidRPr="000E271D">
        <w:rPr>
          <w:rFonts w:eastAsia="Times New Roman" w:cs="Arial"/>
          <w:sz w:val="22"/>
          <w:u w:val="single"/>
          <w:lang w:eastAsia="en-AU"/>
        </w:rPr>
        <w:t>McGlade v Native Title Registrar (2017) FCA 1468</w:t>
      </w:r>
      <w:r w:rsidRPr="006237BF">
        <w:rPr>
          <w:rFonts w:eastAsia="Times New Roman" w:cs="Arial"/>
          <w:sz w:val="22"/>
          <w:lang w:eastAsia="en-AU"/>
        </w:rPr>
        <w:t xml:space="preserve">, where the Federal Court of Australia issued a rule nisi against the Native Title Registrar requiring her to show cause why she should not be ordered to immediately make adjustments to her policies and practices relating to the registration of Indigenous land rights. The court found that the Registrar's policies were inconsistent with the </w:t>
      </w:r>
      <w:r w:rsidRPr="000E271D">
        <w:rPr>
          <w:rFonts w:eastAsia="Times New Roman" w:cs="Arial"/>
          <w:sz w:val="22"/>
          <w:u w:val="single"/>
          <w:lang w:eastAsia="en-AU"/>
        </w:rPr>
        <w:t>Racial Discrimination Act 1975</w:t>
      </w:r>
      <w:r w:rsidRPr="006237BF">
        <w:rPr>
          <w:rFonts w:eastAsia="Times New Roman" w:cs="Arial"/>
          <w:sz w:val="22"/>
          <w:lang w:eastAsia="en-AU"/>
        </w:rPr>
        <w:t xml:space="preserve"> and the </w:t>
      </w:r>
      <w:r w:rsidRPr="000E271D">
        <w:rPr>
          <w:rFonts w:eastAsia="Times New Roman" w:cs="Arial"/>
          <w:sz w:val="22"/>
          <w:u w:val="single"/>
          <w:lang w:eastAsia="en-AU"/>
        </w:rPr>
        <w:t>Native Title Act 1993</w:t>
      </w:r>
      <w:r w:rsidRPr="006237BF">
        <w:rPr>
          <w:rFonts w:eastAsia="Times New Roman" w:cs="Arial"/>
          <w:sz w:val="22"/>
          <w:lang w:eastAsia="en-AU"/>
        </w:rPr>
        <w:t>, and that they had a discriminatory impact on Indigenous Australians seeking to register their land rights.</w:t>
      </w:r>
    </w:p>
    <w:p w14:paraId="3BF7EFD6"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6237BF">
        <w:rPr>
          <w:rFonts w:eastAsia="Times New Roman" w:cs="Arial"/>
          <w:sz w:val="22"/>
          <w:lang w:eastAsia="en-AU"/>
        </w:rPr>
        <w:t>In response to the rule nisi, the Registrar agreed to make the necessary adjustments to her policies and practices, and the court subsequently made a formal order requiring her to do so.</w:t>
      </w:r>
    </w:p>
    <w:p w14:paraId="31B8B225" w14:textId="77777777" w:rsidR="006237BF" w:rsidRPr="006237BF" w:rsidRDefault="006237BF" w:rsidP="006237BF">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6237BF">
        <w:rPr>
          <w:rFonts w:eastAsia="Times New Roman" w:cs="Arial"/>
          <w:sz w:val="22"/>
          <w:lang w:eastAsia="en-AU"/>
        </w:rPr>
        <w:t>This case demonstrates that the courts in Australia have the power to issue a rule nisi requiring a respondent to show cause why they should not be ordered to make immediate adjustments to policies intruding on the fundamental rights of individuals or a group of individuals. However, such remedies are only granted in exceptional circumstances, where there is clear evidence of a violation of fundamental rights and a pressing need for immediate action to address the issue.</w:t>
      </w:r>
    </w:p>
    <w:p w14:paraId="38552651" w14:textId="74E420AB" w:rsidR="00C65FD9" w:rsidRPr="00B61373" w:rsidRDefault="00C65FD9" w:rsidP="007B55D9">
      <w:pPr>
        <w:spacing w:after="100" w:line="240" w:lineRule="auto"/>
        <w:rPr>
          <w:rFonts w:eastAsia="Times New Roman" w:cs="Arial"/>
          <w:sz w:val="21"/>
          <w:szCs w:val="21"/>
          <w:lang w:eastAsia="en-AU"/>
        </w:rPr>
      </w:pPr>
    </w:p>
    <w:p w14:paraId="1E11F27E" w14:textId="6EABB547" w:rsidR="00A40475" w:rsidRPr="00B61373" w:rsidRDefault="00A40475" w:rsidP="001E32C6">
      <w:pPr>
        <w:pStyle w:val="Heading4"/>
        <w:rPr>
          <w:rFonts w:eastAsia="Times New Roman" w:cs="Arial"/>
          <w:lang w:eastAsia="en-AU"/>
        </w:rPr>
      </w:pPr>
      <w:bookmarkStart w:id="17" w:name="_Toc131144609"/>
      <w:r w:rsidRPr="00B61373">
        <w:rPr>
          <w:rFonts w:eastAsia="Times New Roman" w:cs="Arial"/>
          <w:lang w:eastAsia="en-AU"/>
        </w:rPr>
        <w:t>Are there specific rules and precedents that detail the manner and format in which class actions or applications for a rule nisi and if so what are they and where can they be found or downloaded?</w:t>
      </w:r>
      <w:bookmarkEnd w:id="17"/>
    </w:p>
    <w:p w14:paraId="4C565FD3" w14:textId="77777777" w:rsidR="001E32C6" w:rsidRPr="00A40475" w:rsidRDefault="001E32C6" w:rsidP="00A40475">
      <w:pPr>
        <w:spacing w:after="100" w:line="240" w:lineRule="auto"/>
        <w:rPr>
          <w:rFonts w:eastAsia="Times New Roman" w:cs="Arial"/>
          <w:sz w:val="21"/>
          <w:szCs w:val="21"/>
          <w:lang w:eastAsia="en-AU"/>
        </w:rPr>
      </w:pPr>
    </w:p>
    <w:p w14:paraId="31907FC6"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A40475">
        <w:rPr>
          <w:rFonts w:eastAsia="Times New Roman" w:cs="Arial"/>
          <w:sz w:val="22"/>
          <w:lang w:eastAsia="en-AU"/>
        </w:rPr>
        <w:t>Yes, there are specific rules and procedures that govern class actions and applications for a rule nisi in Australia. These rules can be found in various places, including the relevant court rules and practice notes, as well as in case law and legal commentary.</w:t>
      </w:r>
    </w:p>
    <w:p w14:paraId="0F82AB05"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A40475">
        <w:rPr>
          <w:rFonts w:eastAsia="Times New Roman" w:cs="Arial"/>
          <w:sz w:val="22"/>
          <w:lang w:eastAsia="en-AU"/>
        </w:rPr>
        <w:t xml:space="preserve">In general, </w:t>
      </w:r>
      <w:r w:rsidRPr="000E271D">
        <w:rPr>
          <w:rFonts w:eastAsia="Times New Roman" w:cs="Arial"/>
          <w:b/>
          <w:bCs/>
          <w:sz w:val="22"/>
          <w:lang w:eastAsia="en-AU"/>
        </w:rPr>
        <w:t>class actions</w:t>
      </w:r>
      <w:r w:rsidRPr="00A40475">
        <w:rPr>
          <w:rFonts w:eastAsia="Times New Roman" w:cs="Arial"/>
          <w:sz w:val="22"/>
          <w:lang w:eastAsia="en-AU"/>
        </w:rPr>
        <w:t xml:space="preserve"> in Australia are governed by the </w:t>
      </w:r>
      <w:r w:rsidRPr="000E271D">
        <w:rPr>
          <w:rFonts w:eastAsia="Times New Roman" w:cs="Arial"/>
          <w:sz w:val="22"/>
          <w:u w:val="single"/>
          <w:lang w:eastAsia="en-AU"/>
        </w:rPr>
        <w:t>Federal Court of Australia Act 1976 (</w:t>
      </w:r>
      <w:proofErr w:type="spellStart"/>
      <w:r w:rsidRPr="000E271D">
        <w:rPr>
          <w:rFonts w:eastAsia="Times New Roman" w:cs="Arial"/>
          <w:sz w:val="22"/>
          <w:u w:val="single"/>
          <w:lang w:eastAsia="en-AU"/>
        </w:rPr>
        <w:t>Cth</w:t>
      </w:r>
      <w:proofErr w:type="spellEnd"/>
      <w:r w:rsidRPr="000E271D">
        <w:rPr>
          <w:rFonts w:eastAsia="Times New Roman" w:cs="Arial"/>
          <w:sz w:val="22"/>
          <w:u w:val="single"/>
          <w:lang w:eastAsia="en-AU"/>
        </w:rPr>
        <w:t>) and the Federal Court Rules 2011</w:t>
      </w:r>
      <w:r w:rsidRPr="00A40475">
        <w:rPr>
          <w:rFonts w:eastAsia="Times New Roman" w:cs="Arial"/>
          <w:sz w:val="22"/>
          <w:lang w:eastAsia="en-AU"/>
        </w:rPr>
        <w:t xml:space="preserve"> (</w:t>
      </w:r>
      <w:proofErr w:type="spellStart"/>
      <w:r w:rsidRPr="00A40475">
        <w:rPr>
          <w:rFonts w:eastAsia="Times New Roman" w:cs="Arial"/>
          <w:sz w:val="22"/>
          <w:lang w:eastAsia="en-AU"/>
        </w:rPr>
        <w:t>Cth</w:t>
      </w:r>
      <w:proofErr w:type="spellEnd"/>
      <w:r w:rsidRPr="00A40475">
        <w:rPr>
          <w:rFonts w:eastAsia="Times New Roman" w:cs="Arial"/>
          <w:sz w:val="22"/>
          <w:lang w:eastAsia="en-AU"/>
        </w:rPr>
        <w:t>), as well as by the relevant state and territory laws and rules for courts and tribunals. The Federal Court of Australia has a specific guide for class actions that provides information on the process for initiating and managing class actions, which can be found on their website.</w:t>
      </w:r>
    </w:p>
    <w:p w14:paraId="22E79B5C"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0E271D">
        <w:rPr>
          <w:rFonts w:eastAsia="Times New Roman" w:cs="Arial"/>
          <w:b/>
          <w:bCs/>
          <w:sz w:val="22"/>
          <w:lang w:eastAsia="en-AU"/>
        </w:rPr>
        <w:t xml:space="preserve">Applications for a rule </w:t>
      </w:r>
      <w:r w:rsidRPr="000E271D">
        <w:rPr>
          <w:rFonts w:eastAsia="Times New Roman" w:cs="Arial"/>
          <w:b/>
          <w:bCs/>
          <w:i/>
          <w:iCs/>
          <w:sz w:val="22"/>
          <w:lang w:eastAsia="en-AU"/>
        </w:rPr>
        <w:t>nisi</w:t>
      </w:r>
      <w:r w:rsidRPr="00A40475">
        <w:rPr>
          <w:rFonts w:eastAsia="Times New Roman" w:cs="Arial"/>
          <w:sz w:val="22"/>
          <w:lang w:eastAsia="en-AU"/>
        </w:rPr>
        <w:t xml:space="preserve"> are typically governed by the rules and procedures of the relevant court or tribunal, which may vary depending on the jurisdiction and the nature of the application. In general, a rule </w:t>
      </w:r>
      <w:r w:rsidRPr="000E271D">
        <w:rPr>
          <w:rFonts w:eastAsia="Times New Roman" w:cs="Arial"/>
          <w:i/>
          <w:iCs/>
          <w:sz w:val="22"/>
          <w:lang w:eastAsia="en-AU"/>
        </w:rPr>
        <w:t>nisi</w:t>
      </w:r>
      <w:r w:rsidRPr="00A40475">
        <w:rPr>
          <w:rFonts w:eastAsia="Times New Roman" w:cs="Arial"/>
          <w:sz w:val="22"/>
          <w:lang w:eastAsia="en-AU"/>
        </w:rPr>
        <w:t xml:space="preserve"> is a type of court order that requires the respondent to show cause why a particular action should not be taken by the court. The format and procedure for seeking a rule nisi may depend on the nature of the relief sought and the jurisdiction in which the application is made.</w:t>
      </w:r>
    </w:p>
    <w:p w14:paraId="2A3FE945" w14:textId="77777777" w:rsidR="00A40475" w:rsidRPr="00A40475" w:rsidRDefault="00A40475" w:rsidP="00A4047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A40475">
        <w:rPr>
          <w:rFonts w:eastAsia="Times New Roman" w:cs="Arial"/>
          <w:sz w:val="22"/>
          <w:lang w:eastAsia="en-AU"/>
        </w:rPr>
        <w:t xml:space="preserve">Specific rules and precedents for class actions and applications for a rule nisi can be found by consulting the relevant court rules and practice notes, as well as legal commentary and case law on the subject. These resources can be found in legal databases such as LexisNexis, Westlaw, and </w:t>
      </w:r>
      <w:proofErr w:type="spellStart"/>
      <w:r w:rsidRPr="00A40475">
        <w:rPr>
          <w:rFonts w:eastAsia="Times New Roman" w:cs="Arial"/>
          <w:sz w:val="22"/>
          <w:lang w:eastAsia="en-AU"/>
        </w:rPr>
        <w:t>AustLII</w:t>
      </w:r>
      <w:proofErr w:type="spellEnd"/>
      <w:r w:rsidRPr="00A40475">
        <w:rPr>
          <w:rFonts w:eastAsia="Times New Roman" w:cs="Arial"/>
          <w:sz w:val="22"/>
          <w:lang w:eastAsia="en-AU"/>
        </w:rPr>
        <w:t>, as well as in print resources such as legal textbooks and journals.</w:t>
      </w:r>
    </w:p>
    <w:p w14:paraId="6EC62AD1" w14:textId="1AE0D699" w:rsidR="006237BF" w:rsidRPr="00B61373" w:rsidRDefault="006237BF" w:rsidP="007B55D9">
      <w:pPr>
        <w:spacing w:after="100" w:line="240" w:lineRule="auto"/>
        <w:rPr>
          <w:rFonts w:eastAsia="Times New Roman" w:cs="Arial"/>
          <w:sz w:val="21"/>
          <w:szCs w:val="21"/>
          <w:lang w:eastAsia="en-AU"/>
        </w:rPr>
      </w:pPr>
    </w:p>
    <w:p w14:paraId="6DB64C6D" w14:textId="5B7A7EFF" w:rsidR="001E32C6" w:rsidRPr="00B61373" w:rsidRDefault="001E32C6" w:rsidP="001E32C6">
      <w:pPr>
        <w:pStyle w:val="Heading4"/>
        <w:rPr>
          <w:rFonts w:eastAsia="Times New Roman" w:cs="Arial"/>
          <w:lang w:eastAsia="en-AU"/>
        </w:rPr>
      </w:pPr>
      <w:bookmarkStart w:id="18" w:name="_Toc131144610"/>
      <w:r w:rsidRPr="00B61373">
        <w:rPr>
          <w:rFonts w:eastAsia="Times New Roman" w:cs="Arial"/>
          <w:lang w:eastAsia="en-AU"/>
        </w:rPr>
        <w:lastRenderedPageBreak/>
        <w:t>Based on case law, the rules of court and precedent, can you provide an example of an application to the Australian High Court for a rule nisi for the respondent to show cause why they should not show cause to immediately desist from threatening the fundamental rights of a certain segment of the community as per the attached draft order or such order as the honourable court may deem fit?</w:t>
      </w:r>
      <w:bookmarkEnd w:id="18"/>
    </w:p>
    <w:p w14:paraId="0566E205" w14:textId="77777777" w:rsidR="001E32C6" w:rsidRPr="001E32C6" w:rsidRDefault="001E32C6" w:rsidP="001E32C6">
      <w:pPr>
        <w:spacing w:after="100" w:line="240" w:lineRule="auto"/>
        <w:rPr>
          <w:rFonts w:eastAsia="Times New Roman" w:cs="Arial"/>
          <w:sz w:val="21"/>
          <w:szCs w:val="21"/>
          <w:lang w:eastAsia="en-AU"/>
        </w:rPr>
      </w:pPr>
    </w:p>
    <w:p w14:paraId="059EE118" w14:textId="5A7FD23D" w:rsidR="001E32C6" w:rsidRPr="001E32C6" w:rsidRDefault="00AA6C32" w:rsidP="001E32C6">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2"/>
          <w:lang w:eastAsia="en-AU"/>
        </w:rPr>
        <w:t>Having not fully</w:t>
      </w:r>
      <w:r w:rsidR="001E32C6" w:rsidRPr="001E32C6">
        <w:rPr>
          <w:rFonts w:eastAsia="Times New Roman" w:cs="Arial"/>
          <w:sz w:val="22"/>
          <w:lang w:eastAsia="en-AU"/>
        </w:rPr>
        <w:t xml:space="preserve"> browse</w:t>
      </w:r>
      <w:r>
        <w:rPr>
          <w:rFonts w:eastAsia="Times New Roman" w:cs="Arial"/>
          <w:sz w:val="22"/>
          <w:lang w:eastAsia="en-AU"/>
        </w:rPr>
        <w:t>d</w:t>
      </w:r>
      <w:r w:rsidR="001E32C6" w:rsidRPr="001E32C6">
        <w:rPr>
          <w:rFonts w:eastAsia="Times New Roman" w:cs="Arial"/>
          <w:sz w:val="22"/>
          <w:lang w:eastAsia="en-AU"/>
        </w:rPr>
        <w:t xml:space="preserve"> the internet or access</w:t>
      </w:r>
      <w:r>
        <w:rPr>
          <w:rFonts w:eastAsia="Times New Roman" w:cs="Arial"/>
          <w:sz w:val="22"/>
          <w:lang w:eastAsia="en-AU"/>
        </w:rPr>
        <w:t>ed</w:t>
      </w:r>
      <w:r w:rsidR="001E32C6" w:rsidRPr="001E32C6">
        <w:rPr>
          <w:rFonts w:eastAsia="Times New Roman" w:cs="Arial"/>
          <w:sz w:val="22"/>
          <w:lang w:eastAsia="en-AU"/>
        </w:rPr>
        <w:t xml:space="preserve"> current information</w:t>
      </w:r>
      <w:r>
        <w:rPr>
          <w:rFonts w:eastAsia="Times New Roman" w:cs="Arial"/>
          <w:sz w:val="22"/>
          <w:lang w:eastAsia="en-AU"/>
        </w:rPr>
        <w:t>,</w:t>
      </w:r>
      <w:r w:rsidR="001E32C6" w:rsidRPr="001E32C6">
        <w:rPr>
          <w:rFonts w:eastAsia="Times New Roman" w:cs="Arial"/>
          <w:sz w:val="22"/>
          <w:lang w:eastAsia="en-AU"/>
        </w:rPr>
        <w:t xml:space="preserve"> I can provide general information on how an application for a rule nisi may be made to the High Court of Australia.</w:t>
      </w:r>
    </w:p>
    <w:p w14:paraId="3B2E13FC"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 xml:space="preserve">An application for a rule nisi in the High Court of Australia is typically made under the original jurisdiction of the court, which is governed by the </w:t>
      </w:r>
      <w:r w:rsidRPr="000E271D">
        <w:rPr>
          <w:rFonts w:eastAsia="Times New Roman" w:cs="Arial"/>
          <w:sz w:val="22"/>
          <w:u w:val="single"/>
          <w:lang w:eastAsia="en-AU"/>
        </w:rPr>
        <w:t>High Court Rules 2004 (</w:t>
      </w:r>
      <w:proofErr w:type="spellStart"/>
      <w:r w:rsidRPr="000E271D">
        <w:rPr>
          <w:rFonts w:eastAsia="Times New Roman" w:cs="Arial"/>
          <w:sz w:val="22"/>
          <w:u w:val="single"/>
          <w:lang w:eastAsia="en-AU"/>
        </w:rPr>
        <w:t>Cth</w:t>
      </w:r>
      <w:proofErr w:type="spellEnd"/>
      <w:r w:rsidRPr="000E271D">
        <w:rPr>
          <w:rFonts w:eastAsia="Times New Roman" w:cs="Arial"/>
          <w:sz w:val="22"/>
          <w:u w:val="single"/>
          <w:lang w:eastAsia="en-AU"/>
        </w:rPr>
        <w:t xml:space="preserve">). </w:t>
      </w:r>
      <w:r w:rsidRPr="001E32C6">
        <w:rPr>
          <w:rFonts w:eastAsia="Times New Roman" w:cs="Arial"/>
          <w:sz w:val="22"/>
          <w:lang w:eastAsia="en-AU"/>
        </w:rPr>
        <w:t>In order to obtain a rule nisi, the applicant must file a notice of motion that sets out the relief sought and the grounds on which the relief is sought. The notice of motion must also be accompanied by an affidavit that sets out the facts and evidence relied upon in support of the application.</w:t>
      </w:r>
    </w:p>
    <w:p w14:paraId="71C18236"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High Court has broad powers to grant relief in its original jurisdiction, including the power to issue writs and orders to protect fundamental rights and freedoms. However, the court will generally only grant relief where there is a clear and compelling case that the rights in question have been or are about to be violated.</w:t>
      </w:r>
    </w:p>
    <w:p w14:paraId="27AD3F64"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In terms of precedent, there have been a number of cases in which the High Court has issued orders or writs to protect fundamental rights and freedoms, such as the right to freedom of speech and the right to a fair trial. However, the specific nature of the relief sought and the grounds upon which it is sought will depend on the particular circumstances of each case.</w:t>
      </w:r>
    </w:p>
    <w:p w14:paraId="3C6596DA"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1E32C6">
        <w:rPr>
          <w:rFonts w:eastAsia="Times New Roman" w:cs="Arial"/>
          <w:sz w:val="22"/>
          <w:lang w:eastAsia="en-AU"/>
        </w:rPr>
        <w:t>It is important to note that the High Court is a court of last resort in Australia, and applications for a rule nisi to protect fundamental rights may also be made in the lower courts, such as the Federal Court or the state and territory Supreme Courts.</w:t>
      </w:r>
    </w:p>
    <w:p w14:paraId="3E955DC9" w14:textId="63C0E506" w:rsidR="001E32C6" w:rsidRPr="00B61373" w:rsidRDefault="001E32C6" w:rsidP="007B55D9">
      <w:pPr>
        <w:spacing w:after="100" w:line="240" w:lineRule="auto"/>
        <w:rPr>
          <w:rFonts w:eastAsia="Times New Roman" w:cs="Arial"/>
          <w:sz w:val="21"/>
          <w:szCs w:val="21"/>
          <w:lang w:eastAsia="en-AU"/>
        </w:rPr>
      </w:pPr>
    </w:p>
    <w:p w14:paraId="27C6559A" w14:textId="771B26CF" w:rsidR="001E32C6" w:rsidRPr="00B61373" w:rsidRDefault="001E32C6" w:rsidP="001E32C6">
      <w:pPr>
        <w:pStyle w:val="Heading4"/>
        <w:rPr>
          <w:rFonts w:eastAsia="Times New Roman" w:cs="Arial"/>
          <w:lang w:eastAsia="en-AU"/>
        </w:rPr>
      </w:pPr>
      <w:bookmarkStart w:id="19" w:name="_Toc131144611"/>
      <w:r w:rsidRPr="00B61373">
        <w:rPr>
          <w:rFonts w:eastAsia="Times New Roman" w:cs="Arial"/>
          <w:lang w:eastAsia="en-AU"/>
        </w:rPr>
        <w:t>How would you word such an application?</w:t>
      </w:r>
      <w:bookmarkEnd w:id="19"/>
    </w:p>
    <w:p w14:paraId="67ACC96F" w14:textId="77777777" w:rsidR="001E32C6" w:rsidRPr="001E32C6" w:rsidRDefault="001E32C6" w:rsidP="001E32C6">
      <w:pPr>
        <w:spacing w:after="100" w:line="240" w:lineRule="auto"/>
        <w:rPr>
          <w:rFonts w:eastAsia="Times New Roman" w:cs="Arial"/>
          <w:sz w:val="21"/>
          <w:szCs w:val="21"/>
          <w:lang w:eastAsia="en-AU"/>
        </w:rPr>
      </w:pPr>
    </w:p>
    <w:p w14:paraId="7ECEC869" w14:textId="0644CBFB" w:rsidR="001E32C6" w:rsidRPr="001E32C6" w:rsidRDefault="00AA6C32" w:rsidP="001E32C6">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2"/>
          <w:lang w:eastAsia="en-AU"/>
        </w:rPr>
        <w:t>Being</w:t>
      </w:r>
      <w:r w:rsidR="001E32C6" w:rsidRPr="001E32C6">
        <w:rPr>
          <w:rFonts w:eastAsia="Times New Roman" w:cs="Arial"/>
          <w:sz w:val="22"/>
          <w:lang w:eastAsia="en-AU"/>
        </w:rPr>
        <w:t xml:space="preserve"> unable to provide specific legal advice or draft legal documents</w:t>
      </w:r>
      <w:r>
        <w:rPr>
          <w:rFonts w:eastAsia="Times New Roman" w:cs="Arial"/>
          <w:sz w:val="22"/>
          <w:lang w:eastAsia="en-AU"/>
        </w:rPr>
        <w:t>,</w:t>
      </w:r>
      <w:r w:rsidR="001E32C6" w:rsidRPr="001E32C6">
        <w:rPr>
          <w:rFonts w:eastAsia="Times New Roman" w:cs="Arial"/>
          <w:sz w:val="22"/>
          <w:lang w:eastAsia="en-AU"/>
        </w:rPr>
        <w:t xml:space="preserve"> I can provide general guidance on how an application for a rule nisi to protect fundamental rights may be worded.</w:t>
      </w:r>
    </w:p>
    <w:p w14:paraId="5DEB71AF"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application would typically commence with an introduction that identifies the parties to the proceedings and sets out the background and context of the matter, including the particular fundamental rights that are at issue.</w:t>
      </w:r>
    </w:p>
    <w:p w14:paraId="2C75250F"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The application would then set out the relief sought, which would typically be in the form of a rule nisi that requires the respondent to show cause why they should not immediately desist from threatening the fundamental rights of a certain segment of the community. The specific wording of the rule nisi would depend on the particular circumstances of the case, but it might include language such as:</w:t>
      </w:r>
    </w:p>
    <w:p w14:paraId="251B8C2A" w14:textId="77777777" w:rsidR="001E32C6" w:rsidRPr="000E271D" w:rsidRDefault="001E32C6" w:rsidP="00AA6C32">
      <w:pPr>
        <w:pBdr>
          <w:top w:val="single" w:sz="2" w:space="0" w:color="D9D9E3"/>
          <w:left w:val="single" w:sz="2" w:space="0" w:color="D9D9E3"/>
          <w:bottom w:val="single" w:sz="2" w:space="0" w:color="D9D9E3"/>
          <w:right w:val="single" w:sz="2" w:space="0" w:color="D9D9E3"/>
        </w:pBdr>
        <w:spacing w:before="300" w:after="300" w:line="240" w:lineRule="auto"/>
        <w:ind w:left="720"/>
        <w:rPr>
          <w:rFonts w:eastAsia="Times New Roman" w:cs="Arial"/>
          <w:b/>
          <w:bCs/>
          <w:i/>
          <w:iCs/>
          <w:sz w:val="22"/>
          <w:lang w:eastAsia="en-AU"/>
        </w:rPr>
      </w:pPr>
      <w:r w:rsidRPr="000E271D">
        <w:rPr>
          <w:rFonts w:eastAsia="Times New Roman" w:cs="Arial"/>
          <w:b/>
          <w:bCs/>
          <w:i/>
          <w:iCs/>
          <w:sz w:val="22"/>
          <w:lang w:eastAsia="en-AU"/>
        </w:rPr>
        <w:t>"A rule nisi issue calling upon the respondent to show cause why they should not immediately desist from threatening the fundamental rights of [insert segment of the community], as enshrined in [insert relevant laws, treaties or instruments], and why such other relief as the Court deems just should not be granted."</w:t>
      </w:r>
    </w:p>
    <w:p w14:paraId="2CDCE753"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E32C6">
        <w:rPr>
          <w:rFonts w:eastAsia="Times New Roman" w:cs="Arial"/>
          <w:sz w:val="22"/>
          <w:lang w:eastAsia="en-AU"/>
        </w:rPr>
        <w:t xml:space="preserve">The application would then set out the grounds upon which the relief is sought, which would typically include a detailed exposition of the facts and evidence that support the claim that the </w:t>
      </w:r>
      <w:r w:rsidRPr="001E32C6">
        <w:rPr>
          <w:rFonts w:eastAsia="Times New Roman" w:cs="Arial"/>
          <w:sz w:val="22"/>
          <w:lang w:eastAsia="en-AU"/>
        </w:rPr>
        <w:lastRenderedPageBreak/>
        <w:t>respondent is threatening the fundamental rights in question. The grounds may also refer to relevant legal authorities and precedent, and may include arguments regarding the interpretation and application of relevant laws, treaties, and instruments.</w:t>
      </w:r>
    </w:p>
    <w:p w14:paraId="29D545AA" w14:textId="7DD3EC11" w:rsidR="00AA6C32" w:rsidRPr="0094070C" w:rsidRDefault="001E32C6" w:rsidP="0094070C">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1E32C6">
        <w:rPr>
          <w:rFonts w:eastAsia="Times New Roman" w:cs="Arial"/>
          <w:sz w:val="22"/>
          <w:lang w:eastAsia="en-AU"/>
        </w:rPr>
        <w:t>It is important to note that the wording of an application for a rule nisi will depend on the specific circumstances of each case, and should be drafted by a qualified legal professional with knowledge and experience in the relevant area of law.</w:t>
      </w:r>
    </w:p>
    <w:p w14:paraId="77EECE76" w14:textId="77777777" w:rsidR="003E7F60" w:rsidRPr="00B61373" w:rsidRDefault="003E7F60" w:rsidP="007B55D9">
      <w:pPr>
        <w:spacing w:after="100" w:line="240" w:lineRule="auto"/>
        <w:rPr>
          <w:rFonts w:eastAsia="Times New Roman" w:cs="Arial"/>
          <w:sz w:val="21"/>
          <w:szCs w:val="21"/>
          <w:lang w:eastAsia="en-AU"/>
        </w:rPr>
      </w:pPr>
    </w:p>
    <w:p w14:paraId="542CDBB1" w14:textId="19E33636" w:rsidR="006237BF" w:rsidRPr="00B61373" w:rsidRDefault="006237BF" w:rsidP="006237BF">
      <w:pPr>
        <w:pStyle w:val="Heading3"/>
        <w:rPr>
          <w:rFonts w:eastAsia="Times New Roman" w:cs="Arial"/>
          <w:lang w:eastAsia="en-AU"/>
        </w:rPr>
      </w:pPr>
      <w:bookmarkStart w:id="20" w:name="_Toc131144612"/>
      <w:r w:rsidRPr="00B61373">
        <w:rPr>
          <w:rFonts w:eastAsia="Times New Roman" w:cs="Arial"/>
          <w:lang w:eastAsia="en-AU"/>
        </w:rPr>
        <w:t>International treaties</w:t>
      </w:r>
      <w:bookmarkEnd w:id="20"/>
    </w:p>
    <w:p w14:paraId="393CA33B" w14:textId="664ECDD2" w:rsidR="007B55D9" w:rsidRPr="00B61373" w:rsidRDefault="007B55D9" w:rsidP="007B55D9">
      <w:pPr>
        <w:spacing w:after="100" w:line="240" w:lineRule="auto"/>
        <w:rPr>
          <w:rFonts w:eastAsia="Times New Roman" w:cs="Arial"/>
          <w:sz w:val="21"/>
          <w:szCs w:val="21"/>
          <w:lang w:eastAsia="en-AU"/>
        </w:rPr>
      </w:pPr>
    </w:p>
    <w:p w14:paraId="33880D16" w14:textId="2751CED4" w:rsidR="00AA6C32" w:rsidRDefault="007B55D9" w:rsidP="000E271D">
      <w:pPr>
        <w:pStyle w:val="Heading4"/>
        <w:rPr>
          <w:rFonts w:eastAsia="Times New Roman" w:cs="Arial"/>
          <w:lang w:eastAsia="en-AU"/>
        </w:rPr>
      </w:pPr>
      <w:bookmarkStart w:id="21" w:name="_Toc131144613"/>
      <w:r w:rsidRPr="00B61373">
        <w:rPr>
          <w:rFonts w:eastAsia="Times New Roman" w:cs="Arial"/>
          <w:lang w:eastAsia="en-AU"/>
        </w:rPr>
        <w:t>Have the obligations imposed by international treaties that impose obligations on Australia to enforce and uphold fundamental human rights, been limited by Australian statute or regulations?</w:t>
      </w:r>
      <w:bookmarkEnd w:id="21"/>
    </w:p>
    <w:p w14:paraId="08786486" w14:textId="77777777" w:rsidR="000E271D" w:rsidRPr="000E271D" w:rsidRDefault="000E271D" w:rsidP="000E271D">
      <w:pPr>
        <w:rPr>
          <w:lang w:eastAsia="en-AU"/>
        </w:rPr>
      </w:pPr>
    </w:p>
    <w:p w14:paraId="71DB3BC5" w14:textId="756DA6DB" w:rsidR="007B55D9" w:rsidRPr="007B55D9" w:rsidRDefault="00AA6C32" w:rsidP="007B55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1"/>
          <w:szCs w:val="21"/>
          <w:lang w:eastAsia="en-AU"/>
        </w:rPr>
        <w:t>Obviously,</w:t>
      </w:r>
      <w:r w:rsidR="007B55D9" w:rsidRPr="007B55D9">
        <w:rPr>
          <w:rFonts w:eastAsia="Times New Roman" w:cs="Arial"/>
          <w:sz w:val="22"/>
          <w:lang w:eastAsia="en-AU"/>
        </w:rPr>
        <w:t xml:space="preserve"> I cannot provide legal advice or an exhaustive analysis of all the international treaties that Australia is party to and how they interact with domestic law. However, it is generally recognized that international treaties that impose obligations on Australia to enforce and uphold fundamental human rights are incorporated into domestic law through various means, such as:</w:t>
      </w:r>
    </w:p>
    <w:p w14:paraId="0290DA06" w14:textId="53A67748" w:rsidR="007B55D9" w:rsidRDefault="007B55D9">
      <w:pPr>
        <w:numPr>
          <w:ilvl w:val="0"/>
          <w:numId w:val="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b/>
          <w:bCs/>
          <w:sz w:val="22"/>
          <w:lang w:eastAsia="en-AU"/>
        </w:rPr>
        <w:t>Direct incorporation</w:t>
      </w:r>
      <w:r w:rsidRPr="007B55D9">
        <w:rPr>
          <w:rFonts w:eastAsia="Times New Roman" w:cs="Arial"/>
          <w:sz w:val="22"/>
          <w:lang w:eastAsia="en-AU"/>
        </w:rPr>
        <w:t xml:space="preserve">: Some treaties, such as the </w:t>
      </w:r>
      <w:r w:rsidRPr="007B2530">
        <w:rPr>
          <w:rFonts w:eastAsia="Times New Roman" w:cs="Arial"/>
          <w:sz w:val="22"/>
          <w:u w:val="single"/>
          <w:lang w:eastAsia="en-AU"/>
        </w:rPr>
        <w:t>International Covenant on Civil and Political Rights (ICCPR)</w:t>
      </w:r>
      <w:r w:rsidRPr="007B55D9">
        <w:rPr>
          <w:rFonts w:eastAsia="Times New Roman" w:cs="Arial"/>
          <w:sz w:val="22"/>
          <w:lang w:eastAsia="en-AU"/>
        </w:rPr>
        <w:t xml:space="preserve"> and the </w:t>
      </w:r>
      <w:r w:rsidRPr="007B2530">
        <w:rPr>
          <w:rFonts w:eastAsia="Times New Roman" w:cs="Arial"/>
          <w:sz w:val="22"/>
          <w:u w:val="single"/>
          <w:lang w:eastAsia="en-AU"/>
        </w:rPr>
        <w:t>Convention on the Rights of the Child (CRC)</w:t>
      </w:r>
      <w:r w:rsidRPr="007B55D9">
        <w:rPr>
          <w:rFonts w:eastAsia="Times New Roman" w:cs="Arial"/>
          <w:sz w:val="22"/>
          <w:lang w:eastAsia="en-AU"/>
        </w:rPr>
        <w:t>, have been directly incorporated into domestic law through legislation. This means that the rights and obligations contained in these treaties can be enforced in Australian courts.</w:t>
      </w:r>
    </w:p>
    <w:p w14:paraId="343ADCC0"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0A08C990" w14:textId="51337230" w:rsidR="007B55D9" w:rsidRDefault="007B55D9">
      <w:pPr>
        <w:numPr>
          <w:ilvl w:val="0"/>
          <w:numId w:val="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b/>
          <w:bCs/>
          <w:sz w:val="22"/>
          <w:lang w:eastAsia="en-AU"/>
        </w:rPr>
        <w:t>Interpretative incorporation</w:t>
      </w:r>
      <w:r w:rsidRPr="007B55D9">
        <w:rPr>
          <w:rFonts w:eastAsia="Times New Roman" w:cs="Arial"/>
          <w:sz w:val="22"/>
          <w:lang w:eastAsia="en-AU"/>
        </w:rPr>
        <w:t xml:space="preserve">: Other treaties, such as the </w:t>
      </w:r>
      <w:r w:rsidRPr="007B2530">
        <w:rPr>
          <w:rFonts w:eastAsia="Times New Roman" w:cs="Arial"/>
          <w:sz w:val="22"/>
          <w:u w:val="single"/>
          <w:lang w:eastAsia="en-AU"/>
        </w:rPr>
        <w:t>Convention against Torture and Other Cruel, Inhuman or Degrading Treatment or Punishment (CAT</w:t>
      </w:r>
      <w:r w:rsidRPr="007B55D9">
        <w:rPr>
          <w:rFonts w:eastAsia="Times New Roman" w:cs="Arial"/>
          <w:sz w:val="22"/>
          <w:lang w:eastAsia="en-AU"/>
        </w:rPr>
        <w:t>), have been incorporated through interpretative means, such as judicial interpretation. In these cases, the courts may interpret domestic law consistently with the treaty obligations.</w:t>
      </w:r>
    </w:p>
    <w:p w14:paraId="3DB07D5F"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0E294154" w14:textId="77777777" w:rsidR="007B55D9" w:rsidRPr="007B55D9" w:rsidRDefault="007B55D9">
      <w:pPr>
        <w:numPr>
          <w:ilvl w:val="0"/>
          <w:numId w:val="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b/>
          <w:bCs/>
          <w:sz w:val="22"/>
          <w:lang w:eastAsia="en-AU"/>
        </w:rPr>
        <w:t>Soft law incorporation</w:t>
      </w:r>
      <w:r w:rsidRPr="007B55D9">
        <w:rPr>
          <w:rFonts w:eastAsia="Times New Roman" w:cs="Arial"/>
          <w:sz w:val="22"/>
          <w:lang w:eastAsia="en-AU"/>
        </w:rPr>
        <w:t xml:space="preserve">: Some international human rights instruments, such as the </w:t>
      </w:r>
      <w:r w:rsidRPr="007B2530">
        <w:rPr>
          <w:rFonts w:eastAsia="Times New Roman" w:cs="Arial"/>
          <w:sz w:val="22"/>
          <w:u w:val="single"/>
          <w:lang w:eastAsia="en-AU"/>
        </w:rPr>
        <w:t>Universal Declaration of Human Rights (UDHR),</w:t>
      </w:r>
      <w:r w:rsidRPr="007B55D9">
        <w:rPr>
          <w:rFonts w:eastAsia="Times New Roman" w:cs="Arial"/>
          <w:sz w:val="22"/>
          <w:lang w:eastAsia="en-AU"/>
        </w:rPr>
        <w:t xml:space="preserve"> may not have direct legal effect in Australia but may be used as a reference for interpreting domestic law and policy.</w:t>
      </w:r>
    </w:p>
    <w:p w14:paraId="47F5D3E3" w14:textId="77777777" w:rsidR="007B2530" w:rsidRDefault="007B55D9" w:rsidP="007B55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7B55D9">
        <w:rPr>
          <w:rFonts w:eastAsia="Times New Roman" w:cs="Arial"/>
          <w:sz w:val="22"/>
          <w:lang w:eastAsia="en-AU"/>
        </w:rPr>
        <w:t xml:space="preserve">It is also worth noting that the </w:t>
      </w:r>
      <w:r w:rsidRPr="007B2530">
        <w:rPr>
          <w:rFonts w:eastAsia="Times New Roman" w:cs="Arial"/>
          <w:b/>
          <w:bCs/>
          <w:sz w:val="22"/>
          <w:lang w:eastAsia="en-AU"/>
        </w:rPr>
        <w:t>Australian government has the power to limit or derogate from certain human rights obligations under international law in certain circumstances, such as in times of national emergency</w:t>
      </w:r>
      <w:r w:rsidRPr="007B55D9">
        <w:rPr>
          <w:rFonts w:eastAsia="Times New Roman" w:cs="Arial"/>
          <w:sz w:val="22"/>
          <w:lang w:eastAsia="en-AU"/>
        </w:rPr>
        <w:t xml:space="preserve">. </w:t>
      </w:r>
    </w:p>
    <w:p w14:paraId="42D8603E" w14:textId="77777777" w:rsidR="007B2530" w:rsidRDefault="007B55D9" w:rsidP="007B55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7B55D9">
        <w:rPr>
          <w:rFonts w:eastAsia="Times New Roman" w:cs="Arial"/>
          <w:sz w:val="22"/>
          <w:lang w:eastAsia="en-AU"/>
        </w:rPr>
        <w:t>However, any such limitations must be</w:t>
      </w:r>
      <w:r w:rsidR="007B2530">
        <w:rPr>
          <w:rFonts w:eastAsia="Times New Roman" w:cs="Arial"/>
          <w:sz w:val="22"/>
          <w:lang w:eastAsia="en-AU"/>
        </w:rPr>
        <w:t>: -</w:t>
      </w:r>
    </w:p>
    <w:p w14:paraId="7E32E9E0" w14:textId="6B14E344" w:rsidR="007B2530" w:rsidRPr="007B2530" w:rsidRDefault="007B2530">
      <w:pPr>
        <w:pStyle w:val="ListParagraph"/>
        <w:numPr>
          <w:ilvl w:val="0"/>
          <w:numId w:val="22"/>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b/>
          <w:bCs/>
          <w:sz w:val="22"/>
          <w:lang w:eastAsia="en-AU"/>
        </w:rPr>
      </w:pPr>
      <w:r w:rsidRPr="007B2530">
        <w:rPr>
          <w:rFonts w:eastAsia="Times New Roman" w:cs="Arial"/>
          <w:b/>
          <w:bCs/>
          <w:sz w:val="22"/>
          <w:lang w:eastAsia="en-AU"/>
        </w:rPr>
        <w:t>N</w:t>
      </w:r>
      <w:r w:rsidR="007B55D9" w:rsidRPr="007B2530">
        <w:rPr>
          <w:rFonts w:eastAsia="Times New Roman" w:cs="Arial"/>
          <w:b/>
          <w:bCs/>
          <w:sz w:val="22"/>
          <w:lang w:eastAsia="en-AU"/>
        </w:rPr>
        <w:t xml:space="preserve">ecessary, </w:t>
      </w:r>
    </w:p>
    <w:p w14:paraId="68C52FBF" w14:textId="3B74F22C" w:rsidR="007B2530" w:rsidRPr="007B2530" w:rsidRDefault="007B2530">
      <w:pPr>
        <w:pStyle w:val="ListParagraph"/>
        <w:numPr>
          <w:ilvl w:val="0"/>
          <w:numId w:val="22"/>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b/>
          <w:bCs/>
          <w:sz w:val="22"/>
          <w:lang w:eastAsia="en-AU"/>
        </w:rPr>
      </w:pPr>
      <w:r w:rsidRPr="007B2530">
        <w:rPr>
          <w:rFonts w:eastAsia="Times New Roman" w:cs="Arial"/>
          <w:b/>
          <w:bCs/>
          <w:sz w:val="22"/>
          <w:lang w:eastAsia="en-AU"/>
        </w:rPr>
        <w:t>P</w:t>
      </w:r>
      <w:r w:rsidR="007B55D9" w:rsidRPr="007B2530">
        <w:rPr>
          <w:rFonts w:eastAsia="Times New Roman" w:cs="Arial"/>
          <w:b/>
          <w:bCs/>
          <w:sz w:val="22"/>
          <w:lang w:eastAsia="en-AU"/>
        </w:rPr>
        <w:t xml:space="preserve">roportionate, and </w:t>
      </w:r>
    </w:p>
    <w:p w14:paraId="5FBBFDD5" w14:textId="67701FF8" w:rsidR="007B55D9" w:rsidRPr="007B2530" w:rsidRDefault="007B2530">
      <w:pPr>
        <w:pStyle w:val="ListParagraph"/>
        <w:numPr>
          <w:ilvl w:val="0"/>
          <w:numId w:val="22"/>
        </w:num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b/>
          <w:bCs/>
          <w:sz w:val="22"/>
          <w:lang w:eastAsia="en-AU"/>
        </w:rPr>
      </w:pPr>
      <w:r w:rsidRPr="007B2530">
        <w:rPr>
          <w:rFonts w:eastAsia="Times New Roman" w:cs="Arial"/>
          <w:b/>
          <w:bCs/>
          <w:sz w:val="22"/>
          <w:lang w:eastAsia="en-AU"/>
        </w:rPr>
        <w:t>I</w:t>
      </w:r>
      <w:r w:rsidR="007B55D9" w:rsidRPr="007B2530">
        <w:rPr>
          <w:rFonts w:eastAsia="Times New Roman" w:cs="Arial"/>
          <w:b/>
          <w:bCs/>
          <w:sz w:val="22"/>
          <w:lang w:eastAsia="en-AU"/>
        </w:rPr>
        <w:t>n accordance with international law.</w:t>
      </w:r>
    </w:p>
    <w:p w14:paraId="2F029B25" w14:textId="6B387B6A" w:rsidR="00C65FD9" w:rsidRPr="00B61373" w:rsidRDefault="00C65FD9" w:rsidP="001E32C6">
      <w:pPr>
        <w:pStyle w:val="Heading4"/>
        <w:rPr>
          <w:rFonts w:eastAsia="Times New Roman" w:cs="Arial"/>
          <w:lang w:eastAsia="en-AU"/>
        </w:rPr>
      </w:pPr>
      <w:bookmarkStart w:id="22" w:name="_Toc131144614"/>
      <w:r w:rsidRPr="00B61373">
        <w:rPr>
          <w:rFonts w:eastAsia="Times New Roman" w:cs="Arial"/>
          <w:lang w:eastAsia="en-AU"/>
        </w:rPr>
        <w:t>Have the obligations imposed by international treaties that impose obligations on Australia to enforce and uphold fundamental human rights, been limited by Australian statute or regulations?</w:t>
      </w:r>
      <w:bookmarkEnd w:id="22"/>
    </w:p>
    <w:p w14:paraId="70E375D6" w14:textId="77777777" w:rsidR="001E32C6" w:rsidRPr="00C65FD9" w:rsidRDefault="001E32C6" w:rsidP="00C65FD9">
      <w:pPr>
        <w:spacing w:after="100" w:line="240" w:lineRule="auto"/>
        <w:rPr>
          <w:rFonts w:eastAsia="Times New Roman" w:cs="Arial"/>
          <w:sz w:val="21"/>
          <w:szCs w:val="21"/>
          <w:lang w:eastAsia="en-AU"/>
        </w:rPr>
      </w:pPr>
    </w:p>
    <w:p w14:paraId="1206AE84"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C65FD9">
        <w:rPr>
          <w:rFonts w:eastAsia="Times New Roman" w:cs="Arial"/>
          <w:sz w:val="22"/>
          <w:lang w:eastAsia="en-AU"/>
        </w:rPr>
        <w:t xml:space="preserve">The obligations imposed by international treaties that impose obligations on Australia to enforce and uphold fundamental human rights have been incorporated into Australian law through various mechanisms, including legislation, regulations, and common law. However, </w:t>
      </w:r>
      <w:r w:rsidRPr="00C65FD9">
        <w:rPr>
          <w:rFonts w:eastAsia="Times New Roman" w:cs="Arial"/>
          <w:sz w:val="22"/>
          <w:lang w:eastAsia="en-AU"/>
        </w:rPr>
        <w:lastRenderedPageBreak/>
        <w:t>there have been instances where Australian law has been interpreted or applied in a way that limits the scope or enforcement of these obligations.</w:t>
      </w:r>
    </w:p>
    <w:p w14:paraId="2561A9CA"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For example, the </w:t>
      </w:r>
      <w:r w:rsidRPr="007B2530">
        <w:rPr>
          <w:rFonts w:eastAsia="Times New Roman" w:cs="Arial"/>
          <w:sz w:val="22"/>
          <w:u w:val="single"/>
          <w:lang w:eastAsia="en-AU"/>
        </w:rPr>
        <w:t>Australian Human Rights Commission Act 1986 (</w:t>
      </w:r>
      <w:proofErr w:type="spellStart"/>
      <w:r w:rsidRPr="007B2530">
        <w:rPr>
          <w:rFonts w:eastAsia="Times New Roman" w:cs="Arial"/>
          <w:sz w:val="22"/>
          <w:u w:val="single"/>
          <w:lang w:eastAsia="en-AU"/>
        </w:rPr>
        <w:t>Cth</w:t>
      </w:r>
      <w:proofErr w:type="spellEnd"/>
      <w:r w:rsidRPr="007B2530">
        <w:rPr>
          <w:rFonts w:eastAsia="Times New Roman" w:cs="Arial"/>
          <w:sz w:val="22"/>
          <w:u w:val="single"/>
          <w:lang w:eastAsia="en-AU"/>
        </w:rPr>
        <w:t>)</w:t>
      </w:r>
      <w:r w:rsidRPr="00C65FD9">
        <w:rPr>
          <w:rFonts w:eastAsia="Times New Roman" w:cs="Arial"/>
          <w:sz w:val="22"/>
          <w:lang w:eastAsia="en-AU"/>
        </w:rPr>
        <w:t xml:space="preserve"> incorporates some of Australia's obligations under international human rights treaties into domestic law. However, the Act also includes provisions that limit the Commission's jurisdiction to investigate complaints of human rights violations in certain circumstances, such as </w:t>
      </w:r>
      <w:r w:rsidRPr="007B2530">
        <w:rPr>
          <w:rFonts w:eastAsia="Times New Roman" w:cs="Arial"/>
          <w:b/>
          <w:bCs/>
          <w:sz w:val="22"/>
          <w:lang w:eastAsia="en-AU"/>
        </w:rPr>
        <w:t>where the alleged violation occurred more than 12 months ago</w:t>
      </w:r>
      <w:r w:rsidRPr="00C65FD9">
        <w:rPr>
          <w:rFonts w:eastAsia="Times New Roman" w:cs="Arial"/>
          <w:sz w:val="22"/>
          <w:lang w:eastAsia="en-AU"/>
        </w:rPr>
        <w:t xml:space="preserve"> or where the complaint is deemed to be trivial or vexatious.</w:t>
      </w:r>
    </w:p>
    <w:p w14:paraId="2EBB67D3"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Similarly, the </w:t>
      </w:r>
      <w:r w:rsidRPr="007B2530">
        <w:rPr>
          <w:rFonts w:eastAsia="Times New Roman" w:cs="Arial"/>
          <w:sz w:val="22"/>
          <w:u w:val="single"/>
          <w:lang w:eastAsia="en-AU"/>
        </w:rPr>
        <w:t>Migration Act 1958 (</w:t>
      </w:r>
      <w:proofErr w:type="spellStart"/>
      <w:r w:rsidRPr="007B2530">
        <w:rPr>
          <w:rFonts w:eastAsia="Times New Roman" w:cs="Arial"/>
          <w:sz w:val="22"/>
          <w:u w:val="single"/>
          <w:lang w:eastAsia="en-AU"/>
        </w:rPr>
        <w:t>Cth</w:t>
      </w:r>
      <w:proofErr w:type="spellEnd"/>
      <w:r w:rsidRPr="007B2530">
        <w:rPr>
          <w:rFonts w:eastAsia="Times New Roman" w:cs="Arial"/>
          <w:sz w:val="22"/>
          <w:u w:val="single"/>
          <w:lang w:eastAsia="en-AU"/>
        </w:rPr>
        <w:t>)</w:t>
      </w:r>
      <w:r w:rsidRPr="00C65FD9">
        <w:rPr>
          <w:rFonts w:eastAsia="Times New Roman" w:cs="Arial"/>
          <w:sz w:val="22"/>
          <w:lang w:eastAsia="en-AU"/>
        </w:rPr>
        <w:t xml:space="preserve"> provides for the detention of asylum seekers and unauthorized arrivals, even in cases where such detention may be contrary to Australia's obligations under international human rights treaties. The High Court of Australia has ruled that such detention may be lawful if it is necessary for the purpose of removing the individual from Australia or if it is necessary to protect the Australian community from a serious risk of harm.</w:t>
      </w:r>
    </w:p>
    <w:p w14:paraId="668AE164" w14:textId="77777777" w:rsidR="00C65FD9" w:rsidRPr="00C65FD9" w:rsidRDefault="00C65FD9" w:rsidP="00C65FD9">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C65FD9">
        <w:rPr>
          <w:rFonts w:eastAsia="Times New Roman" w:cs="Arial"/>
          <w:sz w:val="22"/>
          <w:lang w:eastAsia="en-AU"/>
        </w:rPr>
        <w:t xml:space="preserve">In some cases, Australian courts have also interpreted domestic law in a way that limits the scope of international human rights obligations. For example, in the case of </w:t>
      </w:r>
      <w:r w:rsidRPr="007B2530">
        <w:rPr>
          <w:rFonts w:eastAsia="Times New Roman" w:cs="Arial"/>
          <w:sz w:val="22"/>
          <w:u w:val="single"/>
          <w:lang w:eastAsia="en-AU"/>
        </w:rPr>
        <w:t>Plaintiff M68/2015 v Minister for Immigration and Border Protection [2016] HCA 1</w:t>
      </w:r>
      <w:r w:rsidRPr="00C65FD9">
        <w:rPr>
          <w:rFonts w:eastAsia="Times New Roman" w:cs="Arial"/>
          <w:sz w:val="22"/>
          <w:lang w:eastAsia="en-AU"/>
        </w:rPr>
        <w:t>, the High Court of Australia upheld the legality of offshore processing of asylum seekers in Papua New Guinea and Nauru, despite arguments that such processing violated Australia's obligations under international human rights treaties.</w:t>
      </w:r>
    </w:p>
    <w:p w14:paraId="7DD931BC" w14:textId="7296088A" w:rsidR="007B55D9" w:rsidRPr="007B55D9" w:rsidRDefault="00C65FD9" w:rsidP="001E32C6">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C65FD9">
        <w:rPr>
          <w:rFonts w:eastAsia="Times New Roman" w:cs="Arial"/>
          <w:sz w:val="22"/>
          <w:lang w:eastAsia="en-AU"/>
        </w:rPr>
        <w:t>In summary, while Australia has incorporated its obligations under international human rights treaties into domestic law, there have been instances where Australian law has been interpreted or applied in a way that limits the scope or enforcement of these obligations.</w:t>
      </w:r>
    </w:p>
    <w:p w14:paraId="4A05CC87" w14:textId="77777777" w:rsidR="007B55D9" w:rsidRPr="007B55D9" w:rsidRDefault="007B55D9" w:rsidP="007B55D9">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7B55D9">
        <w:rPr>
          <w:rFonts w:eastAsia="Times New Roman" w:cs="Arial"/>
          <w:sz w:val="22"/>
          <w:lang w:eastAsia="en-AU"/>
        </w:rPr>
        <w:t>Overall, while Australian domestic law may place some limitations on the obligations imposed by international treaties that impose obligations on Australia to enforce and uphold fundamental human rights, these</w:t>
      </w:r>
    </w:p>
    <w:p w14:paraId="3AFD5DFF" w14:textId="77777777" w:rsidR="0094070C" w:rsidRPr="00B61373" w:rsidRDefault="0094070C" w:rsidP="007B55D9">
      <w:pPr>
        <w:spacing w:after="100" w:line="240" w:lineRule="auto"/>
        <w:rPr>
          <w:rFonts w:eastAsia="Times New Roman" w:cs="Arial"/>
          <w:sz w:val="21"/>
          <w:szCs w:val="21"/>
          <w:lang w:eastAsia="en-AU"/>
        </w:rPr>
      </w:pPr>
    </w:p>
    <w:p w14:paraId="738A8B74" w14:textId="5EB579B7" w:rsidR="001E32C6" w:rsidRPr="00B61373" w:rsidRDefault="001E32C6" w:rsidP="001E32C6">
      <w:pPr>
        <w:pStyle w:val="Heading3"/>
        <w:rPr>
          <w:rFonts w:eastAsia="Times New Roman" w:cs="Arial"/>
          <w:lang w:eastAsia="en-AU"/>
        </w:rPr>
      </w:pPr>
      <w:bookmarkStart w:id="23" w:name="_Toc131144615"/>
      <w:r w:rsidRPr="00B61373">
        <w:rPr>
          <w:rFonts w:eastAsia="Times New Roman" w:cs="Arial"/>
          <w:lang w:eastAsia="en-AU"/>
        </w:rPr>
        <w:t>Definitions</w:t>
      </w:r>
      <w:bookmarkEnd w:id="23"/>
    </w:p>
    <w:p w14:paraId="730B41C3" w14:textId="77777777" w:rsidR="001E32C6" w:rsidRPr="00B61373" w:rsidRDefault="001E32C6" w:rsidP="007B55D9">
      <w:pPr>
        <w:spacing w:after="100" w:line="240" w:lineRule="auto"/>
        <w:rPr>
          <w:rFonts w:eastAsia="Times New Roman" w:cs="Arial"/>
          <w:sz w:val="21"/>
          <w:szCs w:val="21"/>
          <w:lang w:eastAsia="en-AU"/>
        </w:rPr>
      </w:pPr>
    </w:p>
    <w:p w14:paraId="4E5368FE" w14:textId="1752BEDD" w:rsidR="007B55D9" w:rsidRPr="00B61373" w:rsidRDefault="007B55D9" w:rsidP="001E32C6">
      <w:pPr>
        <w:pStyle w:val="Heading4"/>
        <w:rPr>
          <w:rFonts w:eastAsia="Times New Roman" w:cs="Arial"/>
          <w:lang w:eastAsia="en-AU"/>
        </w:rPr>
      </w:pPr>
      <w:bookmarkStart w:id="24" w:name="_Toc131144616"/>
      <w:r w:rsidRPr="00B61373">
        <w:rPr>
          <w:rFonts w:eastAsia="Times New Roman" w:cs="Arial"/>
          <w:lang w:eastAsia="en-AU"/>
        </w:rPr>
        <w:t>As a leading R&amp;D authority what are the various requirements established by, government, NGO's national intelligence agencies and universities worldwide to justify the characteristics of a person or group as (1) radicalised, (2) cultist, (3) fanatical?</w:t>
      </w:r>
      <w:bookmarkEnd w:id="24"/>
    </w:p>
    <w:p w14:paraId="5C70E88B" w14:textId="77777777" w:rsidR="001E32C6" w:rsidRPr="007B55D9" w:rsidRDefault="001E32C6" w:rsidP="007B55D9">
      <w:pPr>
        <w:spacing w:after="100" w:line="240" w:lineRule="auto"/>
        <w:rPr>
          <w:rFonts w:eastAsia="Times New Roman" w:cs="Arial"/>
          <w:sz w:val="21"/>
          <w:szCs w:val="21"/>
          <w:lang w:eastAsia="en-AU"/>
        </w:rPr>
      </w:pPr>
    </w:p>
    <w:p w14:paraId="70EFCA03" w14:textId="24AA07C0" w:rsidR="007B55D9" w:rsidRPr="007B55D9" w:rsidRDefault="00AA6C32" w:rsidP="007B55D9">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Pr>
          <w:rFonts w:eastAsia="Times New Roman" w:cs="Arial"/>
          <w:sz w:val="22"/>
          <w:lang w:eastAsia="en-AU"/>
        </w:rPr>
        <w:t>I</w:t>
      </w:r>
      <w:r w:rsidR="007B55D9" w:rsidRPr="007B55D9">
        <w:rPr>
          <w:rFonts w:eastAsia="Times New Roman" w:cs="Arial"/>
          <w:sz w:val="22"/>
          <w:lang w:eastAsia="en-AU"/>
        </w:rPr>
        <w:t>t is important to note that the categorization of individuals or groups as "radicalized," "cultist," or "fanatical" is a complex matter that can involve multiple factors, and may vary depending on the context and the specific requirements of each government, NGO, national intelligence agency, or university. However, here are some general considerations that may be relevant in establishing such characteristics:</w:t>
      </w:r>
    </w:p>
    <w:p w14:paraId="3A25CAF4" w14:textId="6837CC48" w:rsidR="007B55D9" w:rsidRPr="007B2530" w:rsidRDefault="007B55D9" w:rsidP="007B55D9">
      <w:pPr>
        <w:numPr>
          <w:ilvl w:val="0"/>
          <w:numId w:val="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7B2530">
        <w:rPr>
          <w:rFonts w:eastAsia="Times New Roman" w:cs="Arial"/>
          <w:b/>
          <w:bCs/>
          <w:sz w:val="22"/>
          <w:lang w:eastAsia="en-AU"/>
        </w:rPr>
        <w:t>Radicalization:</w:t>
      </w:r>
    </w:p>
    <w:p w14:paraId="3FA4C1F2"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56E7C1D7" w14:textId="1E87BF3A" w:rsidR="007B55D9" w:rsidRDefault="007B55D9">
      <w:pPr>
        <w:pStyle w:val="ListParagraph"/>
        <w:numPr>
          <w:ilvl w:val="0"/>
          <w:numId w:val="2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sz w:val="22"/>
          <w:lang w:eastAsia="en-AU"/>
        </w:rPr>
        <w:t>The adoption of extremist ideologies and beliefs, especially those advocating violence, may be one indication of radicalization.</w:t>
      </w:r>
    </w:p>
    <w:p w14:paraId="58BFC84B" w14:textId="77777777" w:rsidR="007B2530" w:rsidRPr="007B2530" w:rsidRDefault="007B2530" w:rsidP="007B2530">
      <w:pPr>
        <w:pStyle w:val="ListParagraph"/>
        <w:pBdr>
          <w:top w:val="single" w:sz="2" w:space="0" w:color="D9D9E3"/>
          <w:left w:val="single" w:sz="2" w:space="5" w:color="D9D9E3"/>
          <w:bottom w:val="single" w:sz="2" w:space="0" w:color="D9D9E3"/>
          <w:right w:val="single" w:sz="2" w:space="0" w:color="D9D9E3"/>
        </w:pBdr>
        <w:spacing w:after="0" w:line="240" w:lineRule="auto"/>
        <w:ind w:left="1080"/>
        <w:rPr>
          <w:rFonts w:eastAsia="Times New Roman" w:cs="Arial"/>
          <w:sz w:val="22"/>
          <w:lang w:eastAsia="en-AU"/>
        </w:rPr>
      </w:pPr>
    </w:p>
    <w:p w14:paraId="14042EB9" w14:textId="5073D63D" w:rsidR="007B55D9" w:rsidRDefault="007B55D9">
      <w:pPr>
        <w:pStyle w:val="ListParagraph"/>
        <w:numPr>
          <w:ilvl w:val="0"/>
          <w:numId w:val="2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sz w:val="22"/>
          <w:lang w:eastAsia="en-AU"/>
        </w:rPr>
        <w:t>Engagement in or support for extremist actions or groups may also be a sign of radicalization.</w:t>
      </w:r>
    </w:p>
    <w:p w14:paraId="06EEB8B5" w14:textId="77777777" w:rsidR="007B2530" w:rsidRPr="007B2530"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F812BF8" w14:textId="332625FD" w:rsidR="007B55D9" w:rsidRPr="007B2530" w:rsidRDefault="007B55D9">
      <w:pPr>
        <w:pStyle w:val="ListParagraph"/>
        <w:numPr>
          <w:ilvl w:val="0"/>
          <w:numId w:val="2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2530">
        <w:rPr>
          <w:rFonts w:eastAsia="Times New Roman" w:cs="Arial"/>
          <w:sz w:val="22"/>
          <w:lang w:eastAsia="en-AU"/>
        </w:rPr>
        <w:lastRenderedPageBreak/>
        <w:t xml:space="preserve">Changes in </w:t>
      </w:r>
      <w:proofErr w:type="spellStart"/>
      <w:r w:rsidRPr="007B2530">
        <w:rPr>
          <w:rFonts w:eastAsia="Times New Roman" w:cs="Arial"/>
          <w:sz w:val="22"/>
          <w:lang w:eastAsia="en-AU"/>
        </w:rPr>
        <w:t>behavior</w:t>
      </w:r>
      <w:proofErr w:type="spellEnd"/>
      <w:r w:rsidRPr="007B2530">
        <w:rPr>
          <w:rFonts w:eastAsia="Times New Roman" w:cs="Arial"/>
          <w:sz w:val="22"/>
          <w:lang w:eastAsia="en-AU"/>
        </w:rPr>
        <w:t>, such as social withdrawal or increased secrecy, may be an indication of radicalization.</w:t>
      </w:r>
    </w:p>
    <w:p w14:paraId="598C3C2A" w14:textId="53F60AE5" w:rsidR="0070386B" w:rsidRDefault="0070386B" w:rsidP="0070386B">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F80F504" w14:textId="77777777" w:rsidR="007B2530" w:rsidRPr="007B55D9" w:rsidRDefault="007B2530" w:rsidP="0070386B">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980D536" w14:textId="5F74822E" w:rsidR="007B55D9" w:rsidRDefault="007B55D9">
      <w:pPr>
        <w:numPr>
          <w:ilvl w:val="0"/>
          <w:numId w:val="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7B2530">
        <w:rPr>
          <w:rFonts w:eastAsia="Times New Roman" w:cs="Arial"/>
          <w:b/>
          <w:bCs/>
          <w:sz w:val="22"/>
          <w:lang w:eastAsia="en-AU"/>
        </w:rPr>
        <w:t>Cultism:</w:t>
      </w:r>
    </w:p>
    <w:p w14:paraId="13B2F88E" w14:textId="77777777" w:rsidR="007B2530" w:rsidRPr="007B2530"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b/>
          <w:bCs/>
          <w:sz w:val="22"/>
          <w:lang w:eastAsia="en-AU"/>
        </w:rPr>
      </w:pPr>
    </w:p>
    <w:p w14:paraId="7E8045DD" w14:textId="0610EC7A" w:rsidR="007B55D9" w:rsidRDefault="007B55D9">
      <w:pPr>
        <w:numPr>
          <w:ilvl w:val="0"/>
          <w:numId w:val="2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A group's use of mind control techniques, such as manipulation, deception, or isolation from mainstream society, may indicate cultism.</w:t>
      </w:r>
    </w:p>
    <w:p w14:paraId="524CAA4F"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1A0539E8" w14:textId="622E760F" w:rsidR="007B55D9" w:rsidRDefault="007B55D9">
      <w:pPr>
        <w:numPr>
          <w:ilvl w:val="0"/>
          <w:numId w:val="2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The group's emphasis on charismatic leaders, who may be treated as infallible or divine, may also be a sign of cultism.</w:t>
      </w:r>
    </w:p>
    <w:p w14:paraId="2B7403BA"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58B2E41" w14:textId="73ED0E9E" w:rsidR="007B55D9" w:rsidRDefault="007B55D9">
      <w:pPr>
        <w:numPr>
          <w:ilvl w:val="0"/>
          <w:numId w:val="24"/>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The group's use of unconventional beliefs, practices, or rituals that deviate from mainstream norms may be an indication of cultism.</w:t>
      </w:r>
    </w:p>
    <w:p w14:paraId="6856AACC" w14:textId="77777777" w:rsidR="0070386B" w:rsidRPr="007B55D9" w:rsidRDefault="0070386B" w:rsidP="0070386B">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77A5D90" w14:textId="633328EB" w:rsidR="007B55D9" w:rsidRDefault="007B55D9">
      <w:pPr>
        <w:numPr>
          <w:ilvl w:val="0"/>
          <w:numId w:val="3"/>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7B2530">
        <w:rPr>
          <w:rFonts w:eastAsia="Times New Roman" w:cs="Arial"/>
          <w:b/>
          <w:bCs/>
          <w:sz w:val="22"/>
          <w:lang w:eastAsia="en-AU"/>
        </w:rPr>
        <w:t>Fanaticism:</w:t>
      </w:r>
    </w:p>
    <w:p w14:paraId="3CB59996" w14:textId="77777777" w:rsidR="007B2530" w:rsidRPr="007B2530"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b/>
          <w:bCs/>
          <w:sz w:val="22"/>
          <w:lang w:eastAsia="en-AU"/>
        </w:rPr>
      </w:pPr>
    </w:p>
    <w:p w14:paraId="0C643103" w14:textId="5EE56FFC" w:rsidR="007B55D9" w:rsidRDefault="007B55D9">
      <w:pPr>
        <w:numPr>
          <w:ilvl w:val="0"/>
          <w:numId w:val="2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Extreme devotion or obsession with a particular ideology, belief, or person may indicate fanaticism.</w:t>
      </w:r>
    </w:p>
    <w:p w14:paraId="2305F7F5"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ind w:left="1080"/>
        <w:rPr>
          <w:rFonts w:eastAsia="Times New Roman" w:cs="Arial"/>
          <w:sz w:val="22"/>
          <w:lang w:eastAsia="en-AU"/>
        </w:rPr>
      </w:pPr>
    </w:p>
    <w:p w14:paraId="7AB8EF71" w14:textId="37062A93" w:rsidR="007B55D9" w:rsidRDefault="007B55D9">
      <w:pPr>
        <w:numPr>
          <w:ilvl w:val="0"/>
          <w:numId w:val="2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 xml:space="preserve">The tendency to resort to violence or other extreme actions in </w:t>
      </w:r>
      <w:proofErr w:type="spellStart"/>
      <w:r w:rsidRPr="007B55D9">
        <w:rPr>
          <w:rFonts w:eastAsia="Times New Roman" w:cs="Arial"/>
          <w:sz w:val="22"/>
          <w:lang w:eastAsia="en-AU"/>
        </w:rPr>
        <w:t>defense</w:t>
      </w:r>
      <w:proofErr w:type="spellEnd"/>
      <w:r w:rsidRPr="007B55D9">
        <w:rPr>
          <w:rFonts w:eastAsia="Times New Roman" w:cs="Arial"/>
          <w:sz w:val="22"/>
          <w:lang w:eastAsia="en-AU"/>
        </w:rPr>
        <w:t xml:space="preserve"> of one's beliefs may also be a sign of fanaticism.</w:t>
      </w:r>
    </w:p>
    <w:p w14:paraId="029C2891" w14:textId="77777777" w:rsidR="007B2530" w:rsidRPr="007B55D9"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3C6BA76" w14:textId="77777777" w:rsidR="007B55D9" w:rsidRPr="007B55D9" w:rsidRDefault="007B55D9">
      <w:pPr>
        <w:numPr>
          <w:ilvl w:val="0"/>
          <w:numId w:val="25"/>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7B55D9">
        <w:rPr>
          <w:rFonts w:eastAsia="Times New Roman" w:cs="Arial"/>
          <w:sz w:val="22"/>
          <w:lang w:eastAsia="en-AU"/>
        </w:rPr>
        <w:t>An unwillingness to consider alternative viewpoints or evidence that contradicts one's beliefs may indicate fanaticism.</w:t>
      </w:r>
    </w:p>
    <w:p w14:paraId="7A6DF0FA" w14:textId="7542C5A6" w:rsidR="0098029D" w:rsidRDefault="007B55D9" w:rsidP="0077556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7B55D9">
        <w:rPr>
          <w:rFonts w:eastAsia="Times New Roman" w:cs="Arial"/>
          <w:sz w:val="22"/>
          <w:lang w:eastAsia="en-AU"/>
        </w:rPr>
        <w:t xml:space="preserve">It is important to note that these characteristics alone may not be enough to justify </w:t>
      </w:r>
      <w:proofErr w:type="spellStart"/>
      <w:r w:rsidRPr="007B55D9">
        <w:rPr>
          <w:rFonts w:eastAsia="Times New Roman" w:cs="Arial"/>
          <w:sz w:val="22"/>
          <w:lang w:eastAsia="en-AU"/>
        </w:rPr>
        <w:t>labeling</w:t>
      </w:r>
      <w:proofErr w:type="spellEnd"/>
      <w:r w:rsidRPr="007B55D9">
        <w:rPr>
          <w:rFonts w:eastAsia="Times New Roman" w:cs="Arial"/>
          <w:sz w:val="22"/>
          <w:lang w:eastAsia="en-AU"/>
        </w:rPr>
        <w:t xml:space="preserve"> an individual or group as radicalized, cultist, or fanatical, and that any such </w:t>
      </w:r>
      <w:proofErr w:type="spellStart"/>
      <w:r w:rsidRPr="007B55D9">
        <w:rPr>
          <w:rFonts w:eastAsia="Times New Roman" w:cs="Arial"/>
          <w:sz w:val="22"/>
          <w:lang w:eastAsia="en-AU"/>
        </w:rPr>
        <w:t>labeling</w:t>
      </w:r>
      <w:proofErr w:type="spellEnd"/>
      <w:r w:rsidRPr="007B55D9">
        <w:rPr>
          <w:rFonts w:eastAsia="Times New Roman" w:cs="Arial"/>
          <w:sz w:val="22"/>
          <w:lang w:eastAsia="en-AU"/>
        </w:rPr>
        <w:t xml:space="preserve"> should be based on sound evidence and a thorough understanding of the context and motivations involved. Moreover, it is important to approach any such </w:t>
      </w:r>
      <w:proofErr w:type="spellStart"/>
      <w:r w:rsidRPr="007B55D9">
        <w:rPr>
          <w:rFonts w:eastAsia="Times New Roman" w:cs="Arial"/>
          <w:sz w:val="22"/>
          <w:lang w:eastAsia="en-AU"/>
        </w:rPr>
        <w:t>labeling</w:t>
      </w:r>
      <w:proofErr w:type="spellEnd"/>
      <w:r w:rsidRPr="007B55D9">
        <w:rPr>
          <w:rFonts w:eastAsia="Times New Roman" w:cs="Arial"/>
          <w:sz w:val="22"/>
          <w:lang w:eastAsia="en-AU"/>
        </w:rPr>
        <w:t xml:space="preserve"> with sensitivity and caution, as it can have significant implications for the individuals or groups involved.</w:t>
      </w:r>
    </w:p>
    <w:p w14:paraId="1DA57AF3" w14:textId="77777777" w:rsidR="00775565" w:rsidRPr="00775565" w:rsidRDefault="00775565" w:rsidP="00775565">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p>
    <w:p w14:paraId="72B43F87" w14:textId="2205E719" w:rsidR="001E32C6" w:rsidRPr="00B61373" w:rsidRDefault="001E32C6" w:rsidP="001E32C6">
      <w:pPr>
        <w:pStyle w:val="Heading4"/>
        <w:rPr>
          <w:rFonts w:eastAsia="Times New Roman" w:cs="Arial"/>
          <w:lang w:eastAsia="en-AU"/>
        </w:rPr>
      </w:pPr>
      <w:bookmarkStart w:id="25" w:name="_Toc131144617"/>
      <w:r w:rsidRPr="00B61373">
        <w:rPr>
          <w:rFonts w:eastAsia="Times New Roman" w:cs="Arial"/>
          <w:lang w:eastAsia="en-AU"/>
        </w:rPr>
        <w:t>What are the various requirements, factors, associations, status, or behaviours under Australian law that would classify a person as a terrorist or domestic terrorist?</w:t>
      </w:r>
      <w:bookmarkEnd w:id="25"/>
    </w:p>
    <w:p w14:paraId="577F7F0D" w14:textId="77777777" w:rsidR="001E32C6" w:rsidRPr="001E32C6" w:rsidRDefault="001E32C6" w:rsidP="001E32C6">
      <w:pPr>
        <w:spacing w:after="100" w:line="240" w:lineRule="auto"/>
        <w:rPr>
          <w:rFonts w:eastAsia="Times New Roman" w:cs="Arial"/>
          <w:sz w:val="21"/>
          <w:szCs w:val="21"/>
          <w:lang w:eastAsia="en-AU"/>
        </w:rPr>
      </w:pPr>
    </w:p>
    <w:p w14:paraId="07F6145C"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1E32C6">
        <w:rPr>
          <w:rFonts w:eastAsia="Times New Roman" w:cs="Arial"/>
          <w:sz w:val="22"/>
          <w:lang w:eastAsia="en-AU"/>
        </w:rPr>
        <w:t xml:space="preserve">Under Australian law, a person may </w:t>
      </w:r>
      <w:r w:rsidRPr="007B2530">
        <w:rPr>
          <w:rFonts w:eastAsia="Times New Roman" w:cs="Arial"/>
          <w:b/>
          <w:bCs/>
          <w:sz w:val="22"/>
          <w:lang w:eastAsia="en-AU"/>
        </w:rPr>
        <w:t>be classified as a terrorist or domestic terrorist</w:t>
      </w:r>
      <w:r w:rsidRPr="001E32C6">
        <w:rPr>
          <w:rFonts w:eastAsia="Times New Roman" w:cs="Arial"/>
          <w:sz w:val="22"/>
          <w:lang w:eastAsia="en-AU"/>
        </w:rPr>
        <w:t xml:space="preserve"> if they engage in certain actions or behaviours that are defined as terrorist acts or offences under the </w:t>
      </w:r>
      <w:r w:rsidRPr="007B2530">
        <w:rPr>
          <w:rFonts w:eastAsia="Times New Roman" w:cs="Arial"/>
          <w:sz w:val="22"/>
          <w:u w:val="single"/>
          <w:lang w:eastAsia="en-AU"/>
        </w:rPr>
        <w:t>Criminal Code Act 1995 (</w:t>
      </w:r>
      <w:proofErr w:type="spellStart"/>
      <w:r w:rsidRPr="007B2530">
        <w:rPr>
          <w:rFonts w:eastAsia="Times New Roman" w:cs="Arial"/>
          <w:sz w:val="22"/>
          <w:u w:val="single"/>
          <w:lang w:eastAsia="en-AU"/>
        </w:rPr>
        <w:t>Cth</w:t>
      </w:r>
      <w:proofErr w:type="spellEnd"/>
      <w:r w:rsidRPr="007B2530">
        <w:rPr>
          <w:rFonts w:eastAsia="Times New Roman" w:cs="Arial"/>
          <w:sz w:val="22"/>
          <w:u w:val="single"/>
          <w:lang w:eastAsia="en-AU"/>
        </w:rPr>
        <w:t>).</w:t>
      </w:r>
    </w:p>
    <w:p w14:paraId="0677C53F"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7B2530">
        <w:rPr>
          <w:rFonts w:eastAsia="Times New Roman" w:cs="Arial"/>
          <w:b/>
          <w:bCs/>
          <w:sz w:val="22"/>
          <w:u w:val="single"/>
          <w:lang w:eastAsia="en-AU"/>
        </w:rPr>
        <w:t>The Criminal Code Act 1995 (</w:t>
      </w:r>
      <w:proofErr w:type="spellStart"/>
      <w:r w:rsidRPr="007B2530">
        <w:rPr>
          <w:rFonts w:eastAsia="Times New Roman" w:cs="Arial"/>
          <w:b/>
          <w:bCs/>
          <w:sz w:val="22"/>
          <w:u w:val="single"/>
          <w:lang w:eastAsia="en-AU"/>
        </w:rPr>
        <w:t>Cth</w:t>
      </w:r>
      <w:proofErr w:type="spellEnd"/>
      <w:r w:rsidRPr="007B2530">
        <w:rPr>
          <w:rFonts w:eastAsia="Times New Roman" w:cs="Arial"/>
          <w:b/>
          <w:bCs/>
          <w:sz w:val="22"/>
          <w:u w:val="single"/>
          <w:lang w:eastAsia="en-AU"/>
        </w:rPr>
        <w:t>)</w:t>
      </w:r>
      <w:r w:rsidRPr="001E32C6">
        <w:rPr>
          <w:rFonts w:eastAsia="Times New Roman" w:cs="Arial"/>
          <w:sz w:val="22"/>
          <w:lang w:eastAsia="en-AU"/>
        </w:rPr>
        <w:t xml:space="preserve"> defines a terrorist act as an act or threat of action that:</w:t>
      </w:r>
    </w:p>
    <w:p w14:paraId="3BD6C1BA" w14:textId="3F3A5CCB"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involves serious violence against a person;</w:t>
      </w:r>
    </w:p>
    <w:p w14:paraId="3D06B136"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38D2CD1E" w14:textId="44C939D0"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involves serious damage to property;</w:t>
      </w:r>
    </w:p>
    <w:p w14:paraId="76BBA831"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0A13DBDB" w14:textId="10DA6F64"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endangers a person's life, other than the life of the person taking the action;</w:t>
      </w:r>
    </w:p>
    <w:p w14:paraId="26F01636"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6E61FE0" w14:textId="4947F84C"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creates a serious risk to the health or safety of the public or a section of the public;</w:t>
      </w:r>
    </w:p>
    <w:p w14:paraId="690D5E23"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5619A82" w14:textId="2117867C"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seriously interferes with, disrupts or destroys an electronic system, including a telecommunications system, or a system used for the delivery of essential government services or for financial transactions;</w:t>
      </w:r>
    </w:p>
    <w:p w14:paraId="1E8F165F"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7C7147A9" w14:textId="7EF4D59D" w:rsid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is intended to have the effect of advancing a political, religious or ideological cause; and</w:t>
      </w:r>
    </w:p>
    <w:p w14:paraId="11B3E28C"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0D727D1" w14:textId="77777777" w:rsidR="001E32C6" w:rsidRPr="001E32C6" w:rsidRDefault="001E32C6">
      <w:pPr>
        <w:numPr>
          <w:ilvl w:val="0"/>
          <w:numId w:val="8"/>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is intended to coerce or influence the government or intimidate the public.</w:t>
      </w:r>
    </w:p>
    <w:p w14:paraId="791F357E"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1634B0">
        <w:rPr>
          <w:rFonts w:eastAsia="Times New Roman" w:cs="Arial"/>
          <w:b/>
          <w:bCs/>
          <w:sz w:val="22"/>
          <w:lang w:eastAsia="en-AU"/>
        </w:rPr>
        <w:t>Factors</w:t>
      </w:r>
      <w:r w:rsidRPr="001E32C6">
        <w:rPr>
          <w:rFonts w:eastAsia="Times New Roman" w:cs="Arial"/>
          <w:sz w:val="22"/>
          <w:lang w:eastAsia="en-AU"/>
        </w:rPr>
        <w:t xml:space="preserve"> that may contribute to classifying a person as a terrorist or domestic terrorist may include:</w:t>
      </w:r>
    </w:p>
    <w:p w14:paraId="3D54284C" w14:textId="48295DF3"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involvement in planning or carrying out a terrorist act or offence;</w:t>
      </w:r>
    </w:p>
    <w:p w14:paraId="76060745"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09AB975" w14:textId="6051D3A8"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association with a terrorist group or organization;</w:t>
      </w:r>
    </w:p>
    <w:p w14:paraId="3E31BBF5"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AC9B325" w14:textId="684A7768"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advocacy or support for terrorism or extremist views;</w:t>
      </w:r>
    </w:p>
    <w:p w14:paraId="0BD3BF14"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6EA4CAA" w14:textId="64B4D2DD"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possession of materials or equipment intended for use in a terrorist act;</w:t>
      </w:r>
    </w:p>
    <w:p w14:paraId="080A5011"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58BCE68" w14:textId="4DBD07A9"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engagement in terrorist financing or money laundering;</w:t>
      </w:r>
    </w:p>
    <w:p w14:paraId="67DBCBF0"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F7A2B8B" w14:textId="0377493B" w:rsid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radicalization or indoctrination into extremist ideologies;</w:t>
      </w:r>
    </w:p>
    <w:p w14:paraId="12411A1A" w14:textId="77777777" w:rsidR="007B2530" w:rsidRPr="001E32C6" w:rsidRDefault="007B2530" w:rsidP="007B2530">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CE56371" w14:textId="77777777" w:rsidR="001E32C6" w:rsidRPr="001E32C6" w:rsidRDefault="001E32C6">
      <w:pPr>
        <w:numPr>
          <w:ilvl w:val="0"/>
          <w:numId w:val="9"/>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E32C6">
        <w:rPr>
          <w:rFonts w:eastAsia="Times New Roman" w:cs="Arial"/>
          <w:sz w:val="22"/>
          <w:lang w:eastAsia="en-AU"/>
        </w:rPr>
        <w:t>The person's intent to use violence to achieve political or ideological goals.</w:t>
      </w:r>
    </w:p>
    <w:p w14:paraId="2724A7C4" w14:textId="77777777" w:rsidR="001E32C6" w:rsidRPr="001E32C6" w:rsidRDefault="001E32C6" w:rsidP="001E32C6">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1E32C6">
        <w:rPr>
          <w:rFonts w:eastAsia="Times New Roman" w:cs="Arial"/>
          <w:sz w:val="22"/>
          <w:lang w:eastAsia="en-AU"/>
        </w:rPr>
        <w:t>It is important to note that the classification of a person as a terrorist or domestic terrorist requires a careful and evidence-based assessment of their actions, behaviours, and intentions. The determination is made by law enforcement agencies and the courts, based on the specific circumstances of each case.</w:t>
      </w:r>
    </w:p>
    <w:p w14:paraId="741F017A" w14:textId="404204F0" w:rsidR="001E32C6" w:rsidRDefault="001E32C6">
      <w:pPr>
        <w:rPr>
          <w:rFonts w:cs="Arial"/>
        </w:rPr>
      </w:pPr>
    </w:p>
    <w:p w14:paraId="3FC44AF2" w14:textId="77777777" w:rsidR="0094070C" w:rsidRPr="00B61373" w:rsidRDefault="0094070C">
      <w:pPr>
        <w:rPr>
          <w:rFonts w:cs="Arial"/>
        </w:rPr>
      </w:pPr>
    </w:p>
    <w:p w14:paraId="3C7122F0" w14:textId="1E8B3A47" w:rsidR="00B61373" w:rsidRPr="00B61373" w:rsidRDefault="00B61373" w:rsidP="00B61373">
      <w:pPr>
        <w:pStyle w:val="Heading4"/>
        <w:rPr>
          <w:rFonts w:eastAsia="Times New Roman" w:cs="Arial"/>
          <w:lang w:eastAsia="en-AU"/>
        </w:rPr>
      </w:pPr>
      <w:bookmarkStart w:id="26" w:name="_Toc131144618"/>
      <w:r w:rsidRPr="00B61373">
        <w:rPr>
          <w:rFonts w:eastAsia="Times New Roman" w:cs="Arial"/>
          <w:lang w:eastAsia="en-AU"/>
        </w:rPr>
        <w:t>What are the various requirements, factors, associations, status, or behaviours under Australian law that would classify a person as radicalised?</w:t>
      </w:r>
      <w:bookmarkEnd w:id="26"/>
    </w:p>
    <w:p w14:paraId="5E478956" w14:textId="77777777" w:rsidR="00B61373" w:rsidRPr="00B61373" w:rsidRDefault="00B61373" w:rsidP="00B61373">
      <w:pPr>
        <w:spacing w:after="100" w:line="240" w:lineRule="auto"/>
        <w:rPr>
          <w:rFonts w:eastAsia="Times New Roman" w:cs="Arial"/>
          <w:sz w:val="21"/>
          <w:szCs w:val="21"/>
          <w:lang w:eastAsia="en-AU"/>
        </w:rPr>
      </w:pPr>
    </w:p>
    <w:p w14:paraId="5B56178B"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B61373">
        <w:rPr>
          <w:rFonts w:eastAsia="Times New Roman" w:cs="Arial"/>
          <w:sz w:val="22"/>
          <w:lang w:eastAsia="en-AU"/>
        </w:rPr>
        <w:t xml:space="preserve">Under Australian law, there is no specific legal </w:t>
      </w:r>
      <w:r w:rsidRPr="002D1303">
        <w:rPr>
          <w:rFonts w:eastAsia="Times New Roman" w:cs="Arial"/>
          <w:b/>
          <w:bCs/>
          <w:sz w:val="22"/>
          <w:lang w:eastAsia="en-AU"/>
        </w:rPr>
        <w:t>definition for the term "radicalised."</w:t>
      </w:r>
      <w:r w:rsidRPr="00B61373">
        <w:rPr>
          <w:rFonts w:eastAsia="Times New Roman" w:cs="Arial"/>
          <w:sz w:val="22"/>
          <w:lang w:eastAsia="en-AU"/>
        </w:rPr>
        <w:t xml:space="preserve"> However, law enforcement and security agencies often use the term to describe individuals who have adopted extreme ideologies or beliefs, and may be at risk of engaging in extremist or violent </w:t>
      </w:r>
      <w:proofErr w:type="spellStart"/>
      <w:r w:rsidRPr="00B61373">
        <w:rPr>
          <w:rFonts w:eastAsia="Times New Roman" w:cs="Arial"/>
          <w:sz w:val="22"/>
          <w:lang w:eastAsia="en-AU"/>
        </w:rPr>
        <w:t>behavior</w:t>
      </w:r>
      <w:proofErr w:type="spellEnd"/>
      <w:r w:rsidRPr="00B61373">
        <w:rPr>
          <w:rFonts w:eastAsia="Times New Roman" w:cs="Arial"/>
          <w:sz w:val="22"/>
          <w:lang w:eastAsia="en-AU"/>
        </w:rPr>
        <w:t>.</w:t>
      </w:r>
    </w:p>
    <w:p w14:paraId="10D21ED8"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before="300" w:after="300" w:line="240" w:lineRule="auto"/>
        <w:rPr>
          <w:rFonts w:eastAsia="Times New Roman" w:cs="Arial"/>
          <w:sz w:val="22"/>
          <w:lang w:eastAsia="en-AU"/>
        </w:rPr>
      </w:pPr>
      <w:r w:rsidRPr="00B61373">
        <w:rPr>
          <w:rFonts w:eastAsia="Times New Roman" w:cs="Arial"/>
          <w:sz w:val="22"/>
          <w:lang w:eastAsia="en-AU"/>
        </w:rPr>
        <w:t xml:space="preserve">The Australian government has identified several </w:t>
      </w:r>
      <w:r w:rsidRPr="001634B0">
        <w:rPr>
          <w:rFonts w:eastAsia="Times New Roman" w:cs="Arial"/>
          <w:b/>
          <w:bCs/>
          <w:sz w:val="22"/>
          <w:lang w:eastAsia="en-AU"/>
        </w:rPr>
        <w:t>factors that may indicate radicalisation</w:t>
      </w:r>
      <w:r w:rsidRPr="00B61373">
        <w:rPr>
          <w:rFonts w:eastAsia="Times New Roman" w:cs="Arial"/>
          <w:sz w:val="22"/>
          <w:lang w:eastAsia="en-AU"/>
        </w:rPr>
        <w:t>, including:</w:t>
      </w:r>
    </w:p>
    <w:p w14:paraId="67F5F4CC" w14:textId="7EC05255" w:rsidR="00B6137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634B0">
        <w:rPr>
          <w:rFonts w:eastAsia="Times New Roman" w:cs="Arial"/>
          <w:b/>
          <w:bCs/>
          <w:sz w:val="22"/>
          <w:lang w:eastAsia="en-AU"/>
        </w:rPr>
        <w:t>Engagement with extremist groups or individuals</w:t>
      </w:r>
      <w:r w:rsidRPr="00B61373">
        <w:rPr>
          <w:rFonts w:eastAsia="Times New Roman" w:cs="Arial"/>
          <w:sz w:val="22"/>
          <w:lang w:eastAsia="en-AU"/>
        </w:rPr>
        <w:t>: This includes online engagement with extremist content or social media accounts, as well as physical attendance at rallies or meetings.</w:t>
      </w:r>
    </w:p>
    <w:p w14:paraId="33237BFE"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1BD1604" w14:textId="73589583" w:rsidR="00B61373" w:rsidRPr="002D130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b/>
          <w:bCs/>
          <w:sz w:val="22"/>
          <w:lang w:eastAsia="en-AU"/>
        </w:rPr>
      </w:pPr>
      <w:r w:rsidRPr="001634B0">
        <w:rPr>
          <w:rFonts w:eastAsia="Times New Roman" w:cs="Arial"/>
          <w:b/>
          <w:bCs/>
          <w:sz w:val="22"/>
          <w:lang w:eastAsia="en-AU"/>
        </w:rPr>
        <w:t xml:space="preserve">Changes in </w:t>
      </w:r>
      <w:proofErr w:type="spellStart"/>
      <w:r w:rsidRPr="001634B0">
        <w:rPr>
          <w:rFonts w:eastAsia="Times New Roman" w:cs="Arial"/>
          <w:b/>
          <w:bCs/>
          <w:sz w:val="22"/>
          <w:lang w:eastAsia="en-AU"/>
        </w:rPr>
        <w:t>behavior</w:t>
      </w:r>
      <w:proofErr w:type="spellEnd"/>
      <w:r w:rsidRPr="001634B0">
        <w:rPr>
          <w:rFonts w:eastAsia="Times New Roman" w:cs="Arial"/>
          <w:b/>
          <w:bCs/>
          <w:sz w:val="22"/>
          <w:lang w:eastAsia="en-AU"/>
        </w:rPr>
        <w:t xml:space="preserve"> or beliefs:</w:t>
      </w:r>
      <w:r w:rsidRPr="00B61373">
        <w:rPr>
          <w:rFonts w:eastAsia="Times New Roman" w:cs="Arial"/>
          <w:sz w:val="22"/>
          <w:lang w:eastAsia="en-AU"/>
        </w:rPr>
        <w:t xml:space="preserve"> Radicalisation may be indicated by changes in an individual's </w:t>
      </w:r>
      <w:proofErr w:type="spellStart"/>
      <w:r w:rsidRPr="00B61373">
        <w:rPr>
          <w:rFonts w:eastAsia="Times New Roman" w:cs="Arial"/>
          <w:sz w:val="22"/>
          <w:lang w:eastAsia="en-AU"/>
        </w:rPr>
        <w:t>behavior</w:t>
      </w:r>
      <w:proofErr w:type="spellEnd"/>
      <w:r w:rsidRPr="00B61373">
        <w:rPr>
          <w:rFonts w:eastAsia="Times New Roman" w:cs="Arial"/>
          <w:sz w:val="22"/>
          <w:lang w:eastAsia="en-AU"/>
        </w:rPr>
        <w:t xml:space="preserve">, such as increased isolation, aggression, or a rejection of mainstream society. Changes in beliefs may include the </w:t>
      </w:r>
      <w:r w:rsidRPr="002D1303">
        <w:rPr>
          <w:rFonts w:eastAsia="Times New Roman" w:cs="Arial"/>
          <w:b/>
          <w:bCs/>
          <w:sz w:val="22"/>
          <w:lang w:eastAsia="en-AU"/>
        </w:rPr>
        <w:t>adoption of extremist views, including religious or political ideologies.</w:t>
      </w:r>
    </w:p>
    <w:p w14:paraId="286CC56B"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E02847A" w14:textId="3F24972D" w:rsidR="00B6137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634B0">
        <w:rPr>
          <w:rFonts w:eastAsia="Times New Roman" w:cs="Arial"/>
          <w:b/>
          <w:bCs/>
          <w:sz w:val="22"/>
          <w:lang w:eastAsia="en-AU"/>
        </w:rPr>
        <w:t>Personal or emotional grievances:</w:t>
      </w:r>
      <w:r w:rsidRPr="00B61373">
        <w:rPr>
          <w:rFonts w:eastAsia="Times New Roman" w:cs="Arial"/>
          <w:sz w:val="22"/>
          <w:lang w:eastAsia="en-AU"/>
        </w:rPr>
        <w:t xml:space="preserve"> Some individuals may be driven towards extremist ideologies due to personal or emotional grievances, such as experiences of discrimination, marginalization, or trauma.</w:t>
      </w:r>
    </w:p>
    <w:p w14:paraId="79C86C97"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31A0FAD0" w14:textId="77777777" w:rsidR="00B61373" w:rsidRPr="00B61373" w:rsidRDefault="00B61373">
      <w:pPr>
        <w:numPr>
          <w:ilvl w:val="0"/>
          <w:numId w:val="10"/>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1634B0">
        <w:rPr>
          <w:rFonts w:eastAsia="Times New Roman" w:cs="Arial"/>
          <w:b/>
          <w:bCs/>
          <w:sz w:val="22"/>
          <w:lang w:eastAsia="en-AU"/>
        </w:rPr>
        <w:t>Exposure to violent or extremist propaganda</w:t>
      </w:r>
      <w:r w:rsidRPr="00B61373">
        <w:rPr>
          <w:rFonts w:eastAsia="Times New Roman" w:cs="Arial"/>
          <w:sz w:val="22"/>
          <w:lang w:eastAsia="en-AU"/>
        </w:rPr>
        <w:t>: Exposure to extremist or violent propaganda, including online videos, social media content, or literature, may also be a factor in radicalisation.</w:t>
      </w:r>
    </w:p>
    <w:p w14:paraId="07C2C3C6"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B61373">
        <w:rPr>
          <w:rFonts w:eastAsia="Times New Roman" w:cs="Arial"/>
          <w:sz w:val="22"/>
          <w:lang w:eastAsia="en-AU"/>
        </w:rPr>
        <w:t xml:space="preserve">It is important to note that not all individuals who exhibit these factors are necessarily radicalised, and law enforcement agencies must use careful judgment and assessment before taking action against individuals suspected of engaging in extremist </w:t>
      </w:r>
      <w:proofErr w:type="spellStart"/>
      <w:r w:rsidRPr="00B61373">
        <w:rPr>
          <w:rFonts w:eastAsia="Times New Roman" w:cs="Arial"/>
          <w:sz w:val="22"/>
          <w:lang w:eastAsia="en-AU"/>
        </w:rPr>
        <w:t>behavior</w:t>
      </w:r>
      <w:proofErr w:type="spellEnd"/>
      <w:r w:rsidRPr="00B61373">
        <w:rPr>
          <w:rFonts w:eastAsia="Times New Roman" w:cs="Arial"/>
          <w:sz w:val="22"/>
          <w:lang w:eastAsia="en-AU"/>
        </w:rPr>
        <w:t>.</w:t>
      </w:r>
    </w:p>
    <w:p w14:paraId="4503133D" w14:textId="77777777" w:rsidR="001E32C6" w:rsidRPr="00B61373" w:rsidRDefault="001E32C6">
      <w:pPr>
        <w:rPr>
          <w:rFonts w:cs="Arial"/>
        </w:rPr>
      </w:pPr>
    </w:p>
    <w:p w14:paraId="71AA0670" w14:textId="72EB1107" w:rsidR="00B61373" w:rsidRPr="00B61373" w:rsidRDefault="00B61373" w:rsidP="00B61373">
      <w:pPr>
        <w:pStyle w:val="Heading4"/>
        <w:rPr>
          <w:rFonts w:eastAsia="Times New Roman" w:cs="Arial"/>
          <w:lang w:eastAsia="en-AU"/>
        </w:rPr>
      </w:pPr>
      <w:bookmarkStart w:id="27" w:name="_Toc131144619"/>
      <w:r w:rsidRPr="00B61373">
        <w:rPr>
          <w:rFonts w:eastAsia="Times New Roman" w:cs="Arial"/>
          <w:lang w:eastAsia="en-AU"/>
        </w:rPr>
        <w:t>What laws and regulations are in place in Australian law against vilification, criminalisation, victimisation, persecution, calumniation, persecution and defamation of a person or groups, or types of persons in society?</w:t>
      </w:r>
      <w:bookmarkEnd w:id="27"/>
    </w:p>
    <w:p w14:paraId="3EF9249E" w14:textId="77777777" w:rsidR="00B61373" w:rsidRPr="00B61373" w:rsidRDefault="00B61373" w:rsidP="00B61373">
      <w:pPr>
        <w:spacing w:after="100" w:line="240" w:lineRule="auto"/>
        <w:rPr>
          <w:rFonts w:eastAsia="Times New Roman" w:cs="Arial"/>
          <w:sz w:val="21"/>
          <w:szCs w:val="21"/>
          <w:lang w:eastAsia="en-AU"/>
        </w:rPr>
      </w:pPr>
    </w:p>
    <w:p w14:paraId="22C5E85B"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B61373">
        <w:rPr>
          <w:rFonts w:eastAsia="Times New Roman" w:cs="Arial"/>
          <w:sz w:val="22"/>
          <w:lang w:eastAsia="en-AU"/>
        </w:rPr>
        <w:t>There are several laws and regulations in place in Australian law that prohibit vilification, criminalisation, victimisation, persecution, calumniation, and defamation of a person or group based on their race, ethnicity, religion, gender, sexuality, or other characteristic. Some of these laws and regulations include:</w:t>
      </w:r>
    </w:p>
    <w:p w14:paraId="1D6FB3AB" w14:textId="69DD0755"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Racial Discrimination Act 1975 (</w:t>
      </w:r>
      <w:proofErr w:type="spellStart"/>
      <w:r w:rsidRPr="002D1303">
        <w:rPr>
          <w:rFonts w:eastAsia="Times New Roman" w:cs="Arial"/>
          <w:sz w:val="22"/>
          <w:u w:val="single"/>
          <w:lang w:eastAsia="en-AU"/>
        </w:rPr>
        <w:t>Cth</w:t>
      </w:r>
      <w:proofErr w:type="spellEnd"/>
      <w:r w:rsidRPr="00B61373">
        <w:rPr>
          <w:rFonts w:eastAsia="Times New Roman" w:cs="Arial"/>
          <w:sz w:val="22"/>
          <w:lang w:eastAsia="en-AU"/>
        </w:rPr>
        <w:t>) - This Act makes it unlawful to discriminate against someone on the basis of their race, colour, descent, or national or ethnic origin. It also prohibits acts that offend, insult, humiliate, or intimidate someone on these grounds.</w:t>
      </w:r>
    </w:p>
    <w:p w14:paraId="5F6F296F"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614C5AF8" w14:textId="46957432"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Sex Discrimination Act 1984 (</w:t>
      </w:r>
      <w:proofErr w:type="spellStart"/>
      <w:r w:rsidRPr="002D1303">
        <w:rPr>
          <w:rFonts w:eastAsia="Times New Roman" w:cs="Arial"/>
          <w:sz w:val="22"/>
          <w:u w:val="single"/>
          <w:lang w:eastAsia="en-AU"/>
        </w:rPr>
        <w:t>Cth</w:t>
      </w:r>
      <w:proofErr w:type="spellEnd"/>
      <w:r w:rsidRPr="002D1303">
        <w:rPr>
          <w:rFonts w:eastAsia="Times New Roman" w:cs="Arial"/>
          <w:sz w:val="22"/>
          <w:u w:val="single"/>
          <w:lang w:eastAsia="en-AU"/>
        </w:rPr>
        <w:t>)</w:t>
      </w:r>
      <w:r w:rsidRPr="00B61373">
        <w:rPr>
          <w:rFonts w:eastAsia="Times New Roman" w:cs="Arial"/>
          <w:sz w:val="22"/>
          <w:lang w:eastAsia="en-AU"/>
        </w:rPr>
        <w:t xml:space="preserve"> - This Act makes it unlawful to discriminate against someone on the basis of their sex, marital status, pregnancy, or potential pregnancy. It also prohibits sexual harassment and victimisation.</w:t>
      </w:r>
    </w:p>
    <w:p w14:paraId="6E977914"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94AD09B" w14:textId="3E568500"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Disability Discrimination Act 1992 (</w:t>
      </w:r>
      <w:proofErr w:type="spellStart"/>
      <w:r w:rsidRPr="002D1303">
        <w:rPr>
          <w:rFonts w:eastAsia="Times New Roman" w:cs="Arial"/>
          <w:sz w:val="22"/>
          <w:u w:val="single"/>
          <w:lang w:eastAsia="en-AU"/>
        </w:rPr>
        <w:t>Cth</w:t>
      </w:r>
      <w:proofErr w:type="spellEnd"/>
      <w:r w:rsidRPr="002D1303">
        <w:rPr>
          <w:rFonts w:eastAsia="Times New Roman" w:cs="Arial"/>
          <w:sz w:val="22"/>
          <w:u w:val="single"/>
          <w:lang w:eastAsia="en-AU"/>
        </w:rPr>
        <w:t xml:space="preserve">) </w:t>
      </w:r>
      <w:r w:rsidRPr="00B61373">
        <w:rPr>
          <w:rFonts w:eastAsia="Times New Roman" w:cs="Arial"/>
          <w:sz w:val="22"/>
          <w:lang w:eastAsia="en-AU"/>
        </w:rPr>
        <w:t>- This Act makes it unlawful to discriminate against someone on the basis of their disability. It also prohibits victimisation.</w:t>
      </w:r>
    </w:p>
    <w:p w14:paraId="18391796"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631B574" w14:textId="04109CC9"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Age Discrimination Act 2004 (</w:t>
      </w:r>
      <w:proofErr w:type="spellStart"/>
      <w:r w:rsidRPr="002D1303">
        <w:rPr>
          <w:rFonts w:eastAsia="Times New Roman" w:cs="Arial"/>
          <w:sz w:val="22"/>
          <w:u w:val="single"/>
          <w:lang w:eastAsia="en-AU"/>
        </w:rPr>
        <w:t>Cth</w:t>
      </w:r>
      <w:proofErr w:type="spellEnd"/>
      <w:r w:rsidRPr="002D1303">
        <w:rPr>
          <w:rFonts w:eastAsia="Times New Roman" w:cs="Arial"/>
          <w:sz w:val="22"/>
          <w:u w:val="single"/>
          <w:lang w:eastAsia="en-AU"/>
        </w:rPr>
        <w:t>)</w:t>
      </w:r>
      <w:r w:rsidRPr="00B61373">
        <w:rPr>
          <w:rFonts w:eastAsia="Times New Roman" w:cs="Arial"/>
          <w:sz w:val="22"/>
          <w:lang w:eastAsia="en-AU"/>
        </w:rPr>
        <w:t xml:space="preserve"> - This Act makes it unlawful to discriminate against someone on the basis of their age. It also prohibits victimisation.</w:t>
      </w:r>
    </w:p>
    <w:p w14:paraId="0C5B85B1"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4C0B199A" w14:textId="4C375718"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Criminal Code Act 1995 (</w:t>
      </w:r>
      <w:proofErr w:type="spellStart"/>
      <w:r w:rsidRPr="002D1303">
        <w:rPr>
          <w:rFonts w:eastAsia="Times New Roman" w:cs="Arial"/>
          <w:sz w:val="22"/>
          <w:u w:val="single"/>
          <w:lang w:eastAsia="en-AU"/>
        </w:rPr>
        <w:t>Cth</w:t>
      </w:r>
      <w:proofErr w:type="spellEnd"/>
      <w:r w:rsidRPr="00B61373">
        <w:rPr>
          <w:rFonts w:eastAsia="Times New Roman" w:cs="Arial"/>
          <w:sz w:val="22"/>
          <w:lang w:eastAsia="en-AU"/>
        </w:rPr>
        <w:t>) - This Act contains provisions relating to hate crimes, including offences of racial, religious, and other forms of vilification.</w:t>
      </w:r>
    </w:p>
    <w:p w14:paraId="0214FF8D"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60E20974" w14:textId="5EA06B99"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B61373">
        <w:rPr>
          <w:rFonts w:eastAsia="Times New Roman" w:cs="Arial"/>
          <w:sz w:val="22"/>
          <w:lang w:eastAsia="en-AU"/>
        </w:rPr>
        <w:t xml:space="preserve">State and Territory </w:t>
      </w:r>
      <w:r w:rsidRPr="002D1303">
        <w:rPr>
          <w:rFonts w:eastAsia="Times New Roman" w:cs="Arial"/>
          <w:sz w:val="22"/>
          <w:u w:val="single"/>
          <w:lang w:eastAsia="en-AU"/>
        </w:rPr>
        <w:t>Anti-Discrimination Laws</w:t>
      </w:r>
      <w:r w:rsidRPr="00B61373">
        <w:rPr>
          <w:rFonts w:eastAsia="Times New Roman" w:cs="Arial"/>
          <w:sz w:val="22"/>
          <w:lang w:eastAsia="en-AU"/>
        </w:rPr>
        <w:t xml:space="preserve"> - Each state and territory in Australia has its own anti-discrimination legislation that prohibits discrimination on various grounds, including race, sex, disability, and age.</w:t>
      </w:r>
    </w:p>
    <w:p w14:paraId="4B4CB88E"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A917F2E" w14:textId="11050D37" w:rsid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Defamation Laws</w:t>
      </w:r>
      <w:r w:rsidRPr="00B61373">
        <w:rPr>
          <w:rFonts w:eastAsia="Times New Roman" w:cs="Arial"/>
          <w:sz w:val="22"/>
          <w:lang w:eastAsia="en-AU"/>
        </w:rPr>
        <w:t xml:space="preserve"> - Defamation laws in Australia provide protection against false and damaging statements that harm a person's reputation. These laws apply to both individuals and groups.</w:t>
      </w:r>
    </w:p>
    <w:p w14:paraId="09D8ACC8"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AC8F1F6" w14:textId="77777777" w:rsidR="00B61373" w:rsidRPr="00B61373" w:rsidRDefault="00B61373">
      <w:pPr>
        <w:numPr>
          <w:ilvl w:val="0"/>
          <w:numId w:val="11"/>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Human Rights Commission</w:t>
      </w:r>
      <w:r w:rsidRPr="00B61373">
        <w:rPr>
          <w:rFonts w:eastAsia="Times New Roman" w:cs="Arial"/>
          <w:sz w:val="22"/>
          <w:lang w:eastAsia="en-AU"/>
        </w:rPr>
        <w:t xml:space="preserve"> - The Australian Human Rights Commission is a national independent statutory body that promotes and protects human rights in Australia. It has powers to investigate complaints of discrimination and breaches of human rights under federal law.</w:t>
      </w:r>
    </w:p>
    <w:p w14:paraId="29F73393"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B61373">
        <w:rPr>
          <w:rFonts w:eastAsia="Times New Roman" w:cs="Arial"/>
          <w:sz w:val="22"/>
          <w:lang w:eastAsia="en-AU"/>
        </w:rPr>
        <w:t>Overall, these laws and regulations aim to protect individuals and groups from discrimination, harassment, and other forms of harmful treatment based on their personal characteristics.</w:t>
      </w:r>
    </w:p>
    <w:p w14:paraId="10552240" w14:textId="5A206EA2" w:rsidR="007B55D9" w:rsidRPr="00B61373" w:rsidRDefault="007B55D9">
      <w:pPr>
        <w:rPr>
          <w:rFonts w:cs="Arial"/>
        </w:rPr>
      </w:pPr>
    </w:p>
    <w:p w14:paraId="22862755" w14:textId="2FB17F6B" w:rsidR="00B61373" w:rsidRPr="00B61373" w:rsidRDefault="00B61373" w:rsidP="00B61373">
      <w:pPr>
        <w:pStyle w:val="Heading4"/>
        <w:rPr>
          <w:rFonts w:eastAsia="Times New Roman" w:cs="Arial"/>
          <w:lang w:eastAsia="en-AU"/>
        </w:rPr>
      </w:pPr>
      <w:bookmarkStart w:id="28" w:name="_Toc131144620"/>
      <w:r w:rsidRPr="00B61373">
        <w:rPr>
          <w:rFonts w:eastAsia="Times New Roman" w:cs="Arial"/>
          <w:lang w:eastAsia="en-AU"/>
        </w:rPr>
        <w:lastRenderedPageBreak/>
        <w:t>What laws are in place in Australia to regulate hate speech and incitement of persons to persecute, intimidate or harass certain parts of society?</w:t>
      </w:r>
      <w:bookmarkEnd w:id="28"/>
    </w:p>
    <w:p w14:paraId="4771FC1F" w14:textId="77777777" w:rsidR="00B61373" w:rsidRPr="00B61373" w:rsidRDefault="00B61373" w:rsidP="00B61373">
      <w:pPr>
        <w:spacing w:after="100" w:line="240" w:lineRule="auto"/>
        <w:rPr>
          <w:rFonts w:eastAsia="Times New Roman" w:cs="Arial"/>
          <w:sz w:val="21"/>
          <w:szCs w:val="21"/>
          <w:lang w:eastAsia="en-AU"/>
        </w:rPr>
      </w:pPr>
    </w:p>
    <w:p w14:paraId="0F9FB0F0" w14:textId="77777777" w:rsidR="00B61373" w:rsidRPr="00B61373" w:rsidRDefault="00B61373" w:rsidP="00B61373">
      <w:pPr>
        <w:pBdr>
          <w:top w:val="single" w:sz="2" w:space="0" w:color="D9D9E3"/>
          <w:left w:val="single" w:sz="2" w:space="0" w:color="D9D9E3"/>
          <w:bottom w:val="single" w:sz="2" w:space="0" w:color="D9D9E3"/>
          <w:right w:val="single" w:sz="2" w:space="0" w:color="D9D9E3"/>
        </w:pBdr>
        <w:spacing w:after="300" w:line="240" w:lineRule="auto"/>
        <w:rPr>
          <w:rFonts w:eastAsia="Times New Roman" w:cs="Arial"/>
          <w:sz w:val="22"/>
          <w:lang w:eastAsia="en-AU"/>
        </w:rPr>
      </w:pPr>
      <w:r w:rsidRPr="00B61373">
        <w:rPr>
          <w:rFonts w:eastAsia="Times New Roman" w:cs="Arial"/>
          <w:sz w:val="22"/>
          <w:lang w:eastAsia="en-AU"/>
        </w:rPr>
        <w:t>Australia has a number of laws in place to regulate hate speech and incitement to violence, including:</w:t>
      </w:r>
    </w:p>
    <w:p w14:paraId="7C539E7B" w14:textId="579C9659"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Racial Discrimination Act 1975 (</w:t>
      </w:r>
      <w:proofErr w:type="spellStart"/>
      <w:r w:rsidRPr="002D1303">
        <w:rPr>
          <w:rFonts w:eastAsia="Times New Roman" w:cs="Arial"/>
          <w:sz w:val="22"/>
          <w:u w:val="single"/>
          <w:lang w:eastAsia="en-AU"/>
        </w:rPr>
        <w:t>Cth</w:t>
      </w:r>
      <w:proofErr w:type="spellEnd"/>
      <w:r w:rsidRPr="00B61373">
        <w:rPr>
          <w:rFonts w:eastAsia="Times New Roman" w:cs="Arial"/>
          <w:sz w:val="22"/>
          <w:lang w:eastAsia="en-AU"/>
        </w:rPr>
        <w:t xml:space="preserve">): This Act makes it illegal to engage in any act that is reasonably likely to offend, insult, humiliate, or intimidate another person or group based on their race, </w:t>
      </w:r>
      <w:proofErr w:type="spellStart"/>
      <w:r w:rsidRPr="00B61373">
        <w:rPr>
          <w:rFonts w:eastAsia="Times New Roman" w:cs="Arial"/>
          <w:sz w:val="22"/>
          <w:lang w:eastAsia="en-AU"/>
        </w:rPr>
        <w:t>color</w:t>
      </w:r>
      <w:proofErr w:type="spellEnd"/>
      <w:r w:rsidRPr="00B61373">
        <w:rPr>
          <w:rFonts w:eastAsia="Times New Roman" w:cs="Arial"/>
          <w:sz w:val="22"/>
          <w:lang w:eastAsia="en-AU"/>
        </w:rPr>
        <w:t>, or national or ethnic origin.</w:t>
      </w:r>
    </w:p>
    <w:p w14:paraId="2D40AE2C"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ind w:left="720"/>
        <w:rPr>
          <w:rFonts w:eastAsia="Times New Roman" w:cs="Arial"/>
          <w:sz w:val="22"/>
          <w:lang w:eastAsia="en-AU"/>
        </w:rPr>
      </w:pPr>
    </w:p>
    <w:p w14:paraId="2EF3D6D6" w14:textId="25669FA8"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B61373">
        <w:rPr>
          <w:rFonts w:eastAsia="Times New Roman" w:cs="Arial"/>
          <w:sz w:val="22"/>
          <w:lang w:eastAsia="en-AU"/>
        </w:rPr>
        <w:t>Criminal Code Act 1995 (</w:t>
      </w:r>
      <w:proofErr w:type="spellStart"/>
      <w:r w:rsidRPr="00B61373">
        <w:rPr>
          <w:rFonts w:eastAsia="Times New Roman" w:cs="Arial"/>
          <w:sz w:val="22"/>
          <w:lang w:eastAsia="en-AU"/>
        </w:rPr>
        <w:t>Cth</w:t>
      </w:r>
      <w:proofErr w:type="spellEnd"/>
      <w:r w:rsidRPr="00B61373">
        <w:rPr>
          <w:rFonts w:eastAsia="Times New Roman" w:cs="Arial"/>
          <w:sz w:val="22"/>
          <w:lang w:eastAsia="en-AU"/>
        </w:rPr>
        <w:t>): The Criminal Code Act makes it an offense to use a carriage service (such as the internet or mobile phone) to incite violence or promote terrorism.</w:t>
      </w:r>
    </w:p>
    <w:p w14:paraId="6D07C96B"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5B8596D9" w14:textId="13B6349F"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Anti-Discrimination Act 1977 (NSW</w:t>
      </w:r>
      <w:r w:rsidRPr="00B61373">
        <w:rPr>
          <w:rFonts w:eastAsia="Times New Roman" w:cs="Arial"/>
          <w:sz w:val="22"/>
          <w:lang w:eastAsia="en-AU"/>
        </w:rPr>
        <w:t>): This Act prohibits discrimination on the basis of a range of personal characteristics including race, sex, sexuality, and disability, and makes it illegal to engage in hate speech or incite violence or harassment.</w:t>
      </w:r>
    </w:p>
    <w:p w14:paraId="500D83BD"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2EF8EB22" w14:textId="27FE0B04"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Racial and Religious Tolerance Act 2001 (Vic):</w:t>
      </w:r>
      <w:r w:rsidRPr="00B61373">
        <w:rPr>
          <w:rFonts w:eastAsia="Times New Roman" w:cs="Arial"/>
          <w:sz w:val="22"/>
          <w:lang w:eastAsia="en-AU"/>
        </w:rPr>
        <w:t xml:space="preserve"> This Act makes it illegal to incite hatred against, serious contempt for, or revulsion or severe ridicule of a person or group on the basis of their race or religion.</w:t>
      </w:r>
    </w:p>
    <w:p w14:paraId="57F96E18"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E614B33" w14:textId="2F9E7EE2" w:rsid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Criminal Code (Criminal Organisations Disruption) Amendment Act 2013 (Qld</w:t>
      </w:r>
      <w:r w:rsidRPr="00B61373">
        <w:rPr>
          <w:rFonts w:eastAsia="Times New Roman" w:cs="Arial"/>
          <w:sz w:val="22"/>
          <w:lang w:eastAsia="en-AU"/>
        </w:rPr>
        <w:t>): This Act provides for the criminalization of certain activities carried out by criminal organizations, including acts that incite violence or harass individuals or groups.</w:t>
      </w:r>
    </w:p>
    <w:p w14:paraId="6E7683B5" w14:textId="77777777" w:rsidR="002D1303" w:rsidRPr="00B61373" w:rsidRDefault="002D1303" w:rsidP="002D1303">
      <w:p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p>
    <w:p w14:paraId="158EA0D2" w14:textId="77777777" w:rsidR="00B61373" w:rsidRPr="00B61373" w:rsidRDefault="00B61373">
      <w:pPr>
        <w:numPr>
          <w:ilvl w:val="0"/>
          <w:numId w:val="12"/>
        </w:numPr>
        <w:pBdr>
          <w:top w:val="single" w:sz="2" w:space="0" w:color="D9D9E3"/>
          <w:left w:val="single" w:sz="2" w:space="5" w:color="D9D9E3"/>
          <w:bottom w:val="single" w:sz="2" w:space="0" w:color="D9D9E3"/>
          <w:right w:val="single" w:sz="2" w:space="0" w:color="D9D9E3"/>
        </w:pBdr>
        <w:spacing w:after="0" w:line="240" w:lineRule="auto"/>
        <w:rPr>
          <w:rFonts w:eastAsia="Times New Roman" w:cs="Arial"/>
          <w:sz w:val="22"/>
          <w:lang w:eastAsia="en-AU"/>
        </w:rPr>
      </w:pPr>
      <w:r w:rsidRPr="002D1303">
        <w:rPr>
          <w:rFonts w:eastAsia="Times New Roman" w:cs="Arial"/>
          <w:sz w:val="22"/>
          <w:u w:val="single"/>
          <w:lang w:eastAsia="en-AU"/>
        </w:rPr>
        <w:t>Criminal Code (Hate Crime) Amendment Act 2021 (Tas):</w:t>
      </w:r>
      <w:r w:rsidRPr="00B61373">
        <w:rPr>
          <w:rFonts w:eastAsia="Times New Roman" w:cs="Arial"/>
          <w:sz w:val="22"/>
          <w:lang w:eastAsia="en-AU"/>
        </w:rPr>
        <w:t xml:space="preserve"> This Act provides for the offense of hate crime, which includes crimes committed with a motive of hatred or prejudice towards an individual or group based on their race, religion, gender identity, or sexual orientation.</w:t>
      </w:r>
    </w:p>
    <w:p w14:paraId="2D37E8FB" w14:textId="06292E1B" w:rsidR="0070386B" w:rsidRPr="0012090A" w:rsidRDefault="00B61373" w:rsidP="0012090A">
      <w:pPr>
        <w:pBdr>
          <w:top w:val="single" w:sz="2" w:space="0" w:color="D9D9E3"/>
          <w:left w:val="single" w:sz="2" w:space="0" w:color="D9D9E3"/>
          <w:bottom w:val="single" w:sz="2" w:space="0" w:color="D9D9E3"/>
          <w:right w:val="single" w:sz="2" w:space="0" w:color="D9D9E3"/>
        </w:pBdr>
        <w:spacing w:before="300" w:after="100" w:line="240" w:lineRule="auto"/>
        <w:rPr>
          <w:rFonts w:eastAsia="Times New Roman" w:cs="Arial"/>
          <w:sz w:val="22"/>
          <w:lang w:eastAsia="en-AU"/>
        </w:rPr>
      </w:pPr>
      <w:r w:rsidRPr="00B61373">
        <w:rPr>
          <w:rFonts w:eastAsia="Times New Roman" w:cs="Arial"/>
          <w:sz w:val="22"/>
          <w:lang w:eastAsia="en-AU"/>
        </w:rPr>
        <w:t>These laws are enforced by the relevant state or territory police forces and can result in fines, imprisonment, or other penalties for offenders.</w:t>
      </w:r>
    </w:p>
    <w:p w14:paraId="7D5C1178" w14:textId="50173349" w:rsidR="0012090A" w:rsidRDefault="0012090A">
      <w:pPr>
        <w:rPr>
          <w:rFonts w:cs="Arial"/>
        </w:rPr>
      </w:pPr>
    </w:p>
    <w:p w14:paraId="1DAC3D62" w14:textId="1771567A" w:rsidR="0012090A" w:rsidRPr="0012090A" w:rsidRDefault="0012090A" w:rsidP="0012090A">
      <w:pPr>
        <w:pStyle w:val="Heading2"/>
      </w:pPr>
      <w:bookmarkStart w:id="29" w:name="_Toc131144621"/>
      <w:r>
        <w:t>Legal Aid</w:t>
      </w:r>
      <w:bookmarkEnd w:id="29"/>
    </w:p>
    <w:p w14:paraId="28362DAB" w14:textId="1FFDB22C" w:rsidR="0012090A" w:rsidRDefault="0012090A" w:rsidP="0012090A">
      <w:pPr>
        <w:pStyle w:val="Heading3"/>
        <w:rPr>
          <w:rFonts w:eastAsia="Times New Roman"/>
          <w:lang w:eastAsia="en-AU"/>
        </w:rPr>
      </w:pPr>
      <w:bookmarkStart w:id="30" w:name="_Toc131144622"/>
      <w:r w:rsidRPr="0012090A">
        <w:rPr>
          <w:rFonts w:eastAsia="Times New Roman"/>
          <w:lang w:eastAsia="en-AU"/>
        </w:rPr>
        <w:t>In Australia what right to state funded legal aid do people have and is there a means test of sorts that would require persons to fund the aid themselves?</w:t>
      </w:r>
      <w:bookmarkEnd w:id="30"/>
    </w:p>
    <w:p w14:paraId="503415BC" w14:textId="77777777" w:rsidR="0012090A" w:rsidRPr="0012090A" w:rsidRDefault="0012090A" w:rsidP="0012090A">
      <w:pPr>
        <w:spacing w:after="100" w:line="240" w:lineRule="auto"/>
        <w:rPr>
          <w:rFonts w:ascii="Segoe UI" w:eastAsia="Times New Roman" w:hAnsi="Segoe UI" w:cs="Segoe UI"/>
          <w:sz w:val="21"/>
          <w:szCs w:val="21"/>
          <w:lang w:eastAsia="en-AU"/>
        </w:rPr>
      </w:pPr>
    </w:p>
    <w:p w14:paraId="4182BF1B" w14:textId="77777777" w:rsidR="0012090A" w:rsidRPr="0012090A" w:rsidRDefault="0012090A" w:rsidP="0012090A">
      <w:pPr>
        <w:pBdr>
          <w:top w:val="single" w:sz="2" w:space="0" w:color="D9D9E3"/>
          <w:left w:val="single" w:sz="2" w:space="0" w:color="D9D9E3"/>
          <w:bottom w:val="single" w:sz="2" w:space="0" w:color="D9D9E3"/>
          <w:right w:val="single" w:sz="2" w:space="0" w:color="D9D9E3"/>
        </w:pBdr>
        <w:spacing w:after="3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In Australia, people have a right to state-funded legal aid for certain types of legal matters. Legal aid is available to individuals who cannot afford to pay for legal representation themselves, and who meet the eligibility criteria for the relevant legal aid scheme.</w:t>
      </w:r>
    </w:p>
    <w:p w14:paraId="4FEA3B4F" w14:textId="77777777" w:rsidR="0012090A" w:rsidRPr="0012090A" w:rsidRDefault="0012090A" w:rsidP="0012090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The means test for legal aid in Australia varies depending on the state or territory. In general, individuals must demonstrate that they have limited financial resources and are unable to pay for legal representation themselves. This means that they must meet certain income and asset thresholds, and provide evidence of their financial situation.</w:t>
      </w:r>
    </w:p>
    <w:p w14:paraId="67F230FF" w14:textId="77777777" w:rsidR="0012090A" w:rsidRPr="0012090A" w:rsidRDefault="0012090A" w:rsidP="0012090A">
      <w:pPr>
        <w:pBdr>
          <w:top w:val="single" w:sz="2" w:space="0" w:color="D9D9E3"/>
          <w:left w:val="single" w:sz="2" w:space="0" w:color="D9D9E3"/>
          <w:bottom w:val="single" w:sz="2" w:space="0" w:color="D9D9E3"/>
          <w:right w:val="single" w:sz="2" w:space="0" w:color="D9D9E3"/>
        </w:pBdr>
        <w:spacing w:before="300" w:after="3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lastRenderedPageBreak/>
        <w:t>In addition to the means test, legal aid is also subject to other eligibility criteria. For example, legal aid may only be available for certain types of legal matters, such as criminal law, family law, and some civil law matters. The specific eligibility criteria for legal aid vary depending on the state or territory, and the type of legal matter.</w:t>
      </w:r>
    </w:p>
    <w:p w14:paraId="41CCC80B" w14:textId="7F58F0A2" w:rsidR="002D1303" w:rsidRDefault="0012090A" w:rsidP="0012090A">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sz w:val="22"/>
          <w:lang w:eastAsia="en-AU"/>
        </w:rPr>
      </w:pPr>
      <w:r w:rsidRPr="0012090A">
        <w:rPr>
          <w:rFonts w:ascii="Segoe UI" w:eastAsia="Times New Roman" w:hAnsi="Segoe UI" w:cs="Segoe UI"/>
          <w:sz w:val="22"/>
          <w:lang w:eastAsia="en-AU"/>
        </w:rPr>
        <w:t>Overall, the availability of legal aid in Australia is designed to ensure that all individuals have access to legal representation, regardless of their financial situation. However, eligibility for legal aid is subject to means and other eligibility tests, and the availability of legal aid varies depending on the state or territory and the type of legal matter.</w:t>
      </w:r>
    </w:p>
    <w:p w14:paraId="121485F8" w14:textId="77777777" w:rsidR="0094070C" w:rsidRDefault="0094070C" w:rsidP="0012090A">
      <w:pPr>
        <w:pBdr>
          <w:top w:val="single" w:sz="2" w:space="0" w:color="D9D9E3"/>
          <w:left w:val="single" w:sz="2" w:space="0" w:color="D9D9E3"/>
          <w:bottom w:val="single" w:sz="2" w:space="0" w:color="D9D9E3"/>
          <w:right w:val="single" w:sz="2" w:space="0" w:color="D9D9E3"/>
        </w:pBdr>
        <w:spacing w:before="300" w:after="100" w:line="240" w:lineRule="auto"/>
        <w:rPr>
          <w:rFonts w:ascii="Segoe UI" w:eastAsia="Times New Roman" w:hAnsi="Segoe UI" w:cs="Segoe UI"/>
          <w:sz w:val="22"/>
          <w:lang w:eastAsia="en-AU"/>
        </w:rPr>
      </w:pPr>
    </w:p>
    <w:p w14:paraId="7B275210" w14:textId="5F9AB43E" w:rsidR="0012090A" w:rsidRDefault="0012090A" w:rsidP="002D1303">
      <w:pPr>
        <w:pStyle w:val="Heading4"/>
      </w:pPr>
      <w:bookmarkStart w:id="31" w:name="_Toc131144623"/>
      <w:r>
        <w:t>Which web pages can be accessed to get more specific information and who to contact on this?</w:t>
      </w:r>
      <w:bookmarkEnd w:id="31"/>
    </w:p>
    <w:p w14:paraId="4D0198D9" w14:textId="77777777" w:rsidR="002D1303" w:rsidRPr="002D1303" w:rsidRDefault="002D1303" w:rsidP="002D1303"/>
    <w:p w14:paraId="2E8425FA" w14:textId="77777777" w:rsidR="0012090A" w:rsidRDefault="0012090A" w:rsidP="0012090A">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Segoe UI" w:hAnsi="Segoe UI" w:cs="Segoe UI"/>
          <w:sz w:val="21"/>
          <w:szCs w:val="21"/>
        </w:rPr>
      </w:pPr>
      <w:r>
        <w:rPr>
          <w:rFonts w:ascii="Segoe UI" w:hAnsi="Segoe UI" w:cs="Segoe UI"/>
          <w:sz w:val="21"/>
          <w:szCs w:val="21"/>
        </w:rPr>
        <w:t>There are several web pages that provide information about legal aid in Australia, as well as how to access it. Here are some useful resources:</w:t>
      </w:r>
    </w:p>
    <w:p w14:paraId="1EB1AC88" w14:textId="4A941D12"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t xml:space="preserve">National Legal Aid: This website provides information on legal aid services in each state and territory, as well as contact details for legal aid offices across Australia. You can visit their website at </w:t>
      </w:r>
      <w:hyperlink r:id="rId7" w:tgtFrame="_new" w:history="1">
        <w:r>
          <w:rPr>
            <w:rStyle w:val="Hyperlink"/>
            <w:rFonts w:ascii="Segoe UI" w:hAnsi="Segoe UI" w:cs="Segoe UI"/>
            <w:sz w:val="21"/>
            <w:szCs w:val="21"/>
            <w:bdr w:val="single" w:sz="2" w:space="0" w:color="D9D9E3" w:frame="1"/>
          </w:rPr>
          <w:t>https://www.nationallegalaid.org/</w:t>
        </w:r>
      </w:hyperlink>
    </w:p>
    <w:p w14:paraId="2F2C20EB" w14:textId="77777777" w:rsidR="0012090A" w:rsidRDefault="0012090A" w:rsidP="0012090A">
      <w:pPr>
        <w:pStyle w:val="NormalWeb"/>
        <w:pBdr>
          <w:top w:val="single" w:sz="2" w:space="0" w:color="D9D9E3"/>
          <w:left w:val="single" w:sz="2" w:space="5" w:color="D9D9E3"/>
          <w:bottom w:val="single" w:sz="2" w:space="0" w:color="D9D9E3"/>
          <w:right w:val="single" w:sz="2" w:space="0" w:color="D9D9E3"/>
        </w:pBdr>
        <w:spacing w:before="0" w:beforeAutospacing="0" w:after="0" w:afterAutospacing="0"/>
        <w:ind w:left="720"/>
        <w:rPr>
          <w:rFonts w:ascii="Segoe UI" w:hAnsi="Segoe UI" w:cs="Segoe UI"/>
          <w:sz w:val="21"/>
          <w:szCs w:val="21"/>
        </w:rPr>
      </w:pPr>
    </w:p>
    <w:p w14:paraId="2134A68A" w14:textId="4AF7A7FE"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t>Legal Aid Commission in your state or territory: Each state and territory has its own Legal Aid Commission that provides legal assistance and information to individuals who meet the eligibility criteria. You can find your local Legal Aid Commission and its contact details through the National Legal Aid website or by searching for "legal aid [your state or territory]" in a search engine.</w:t>
      </w:r>
    </w:p>
    <w:p w14:paraId="19F4A633" w14:textId="77777777" w:rsidR="0012090A" w:rsidRDefault="0012090A" w:rsidP="002D1303">
      <w:pPr>
        <w:pStyle w:val="NormalWeb"/>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p>
    <w:p w14:paraId="7BE5BA65" w14:textId="514D58B7"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proofErr w:type="spellStart"/>
      <w:r>
        <w:rPr>
          <w:rFonts w:ascii="Segoe UI" w:hAnsi="Segoe UI" w:cs="Segoe UI"/>
          <w:sz w:val="21"/>
          <w:szCs w:val="21"/>
        </w:rPr>
        <w:t>LawAccess</w:t>
      </w:r>
      <w:proofErr w:type="spellEnd"/>
      <w:r>
        <w:rPr>
          <w:rFonts w:ascii="Segoe UI" w:hAnsi="Segoe UI" w:cs="Segoe UI"/>
          <w:sz w:val="21"/>
          <w:szCs w:val="21"/>
        </w:rPr>
        <w:t xml:space="preserve">: This is a free legal helpline that provides legal information, referrals, and advice to people in New South Wales. You can visit their website at </w:t>
      </w:r>
      <w:hyperlink r:id="rId8" w:tgtFrame="_new" w:history="1">
        <w:r>
          <w:rPr>
            <w:rStyle w:val="Hyperlink"/>
            <w:rFonts w:ascii="Segoe UI" w:hAnsi="Segoe UI" w:cs="Segoe UI"/>
            <w:sz w:val="21"/>
            <w:szCs w:val="21"/>
            <w:bdr w:val="single" w:sz="2" w:space="0" w:color="D9D9E3" w:frame="1"/>
          </w:rPr>
          <w:t>https://www.lawaccess.nsw.gov.au/</w:t>
        </w:r>
      </w:hyperlink>
    </w:p>
    <w:p w14:paraId="1F513B66" w14:textId="77777777" w:rsidR="0012090A" w:rsidRDefault="0012090A" w:rsidP="0012090A">
      <w:pPr>
        <w:pStyle w:val="NormalWeb"/>
        <w:pBdr>
          <w:top w:val="single" w:sz="2" w:space="0" w:color="D9D9E3"/>
          <w:left w:val="single" w:sz="2" w:space="5" w:color="D9D9E3"/>
          <w:bottom w:val="single" w:sz="2" w:space="0" w:color="D9D9E3"/>
          <w:right w:val="single" w:sz="2" w:space="0" w:color="D9D9E3"/>
        </w:pBdr>
        <w:spacing w:before="0" w:beforeAutospacing="0" w:after="0" w:afterAutospacing="0"/>
        <w:ind w:left="720"/>
        <w:rPr>
          <w:rFonts w:ascii="Segoe UI" w:hAnsi="Segoe UI" w:cs="Segoe UI"/>
          <w:sz w:val="21"/>
          <w:szCs w:val="21"/>
        </w:rPr>
      </w:pPr>
    </w:p>
    <w:p w14:paraId="372CB2B9" w14:textId="77777777" w:rsidR="0012090A" w:rsidRDefault="0012090A">
      <w:pPr>
        <w:pStyle w:val="NormalWeb"/>
        <w:numPr>
          <w:ilvl w:val="0"/>
          <w:numId w:val="20"/>
        </w:numPr>
        <w:pBdr>
          <w:top w:val="single" w:sz="2" w:space="0" w:color="D9D9E3"/>
          <w:left w:val="single" w:sz="2" w:space="5"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t xml:space="preserve">Community Legal Centres: These are non-profit organisations that provide free legal assistance to people who are experiencing disadvantage or facing legal issues. You can find your local community legal centre and its contact details through the National Association of Community Legal Centres website at </w:t>
      </w:r>
      <w:hyperlink r:id="rId9" w:tgtFrame="_new" w:history="1">
        <w:r>
          <w:rPr>
            <w:rStyle w:val="Hyperlink"/>
            <w:rFonts w:ascii="Segoe UI" w:hAnsi="Segoe UI" w:cs="Segoe UI"/>
            <w:sz w:val="21"/>
            <w:szCs w:val="21"/>
            <w:bdr w:val="single" w:sz="2" w:space="0" w:color="D9D9E3" w:frame="1"/>
          </w:rPr>
          <w:t>https://www.naclc.org.au/</w:t>
        </w:r>
      </w:hyperlink>
    </w:p>
    <w:p w14:paraId="215FB043" w14:textId="3A3892EC" w:rsidR="0094070C" w:rsidRPr="0094070C" w:rsidRDefault="0012090A" w:rsidP="0094070C">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Segoe UI" w:hAnsi="Segoe UI" w:cs="Segoe UI"/>
          <w:sz w:val="21"/>
          <w:szCs w:val="21"/>
        </w:rPr>
      </w:pPr>
      <w:r>
        <w:rPr>
          <w:rFonts w:ascii="Segoe UI" w:hAnsi="Segoe UI" w:cs="Segoe UI"/>
          <w:sz w:val="21"/>
          <w:szCs w:val="21"/>
        </w:rPr>
        <w:t>These resources should provide you with more specific information about legal aid in Australia, as well as how to access it.</w:t>
      </w:r>
    </w:p>
    <w:p w14:paraId="27C9C051" w14:textId="77777777" w:rsidR="0094070C" w:rsidRDefault="0094070C"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4E5C8443" w14:textId="4E4AE24B" w:rsidR="0020272E" w:rsidRPr="0020272E" w:rsidRDefault="0020272E" w:rsidP="0020272E">
      <w:pPr>
        <w:pStyle w:val="Heading3"/>
        <w:rPr>
          <w:rFonts w:eastAsia="Times New Roman"/>
          <w:lang w:eastAsia="en-AU"/>
        </w:rPr>
      </w:pPr>
      <w:bookmarkStart w:id="32" w:name="_Toc131144624"/>
      <w:r>
        <w:rPr>
          <w:rFonts w:eastAsia="Times New Roman"/>
          <w:lang w:eastAsia="en-AU"/>
        </w:rPr>
        <w:t>Queensland Human Rights Commission</w:t>
      </w:r>
      <w:bookmarkEnd w:id="32"/>
    </w:p>
    <w:p w14:paraId="467ACBB3" w14:textId="35363BC9" w:rsidR="005C03EA" w:rsidRDefault="00000000"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hyperlink r:id="rId10" w:history="1">
        <w:r w:rsidR="0020272E" w:rsidRPr="006B430C">
          <w:rPr>
            <w:rStyle w:val="Hyperlink"/>
            <w:rFonts w:ascii="Roboto" w:eastAsia="Times New Roman" w:hAnsi="Roboto" w:cs="Times New Roman"/>
            <w:sz w:val="23"/>
            <w:szCs w:val="23"/>
            <w:lang w:eastAsia="en-AU"/>
          </w:rPr>
          <w:t>https://www.qhrc.qld.gov.au/complaints</w:t>
        </w:r>
      </w:hyperlink>
    </w:p>
    <w:p w14:paraId="3FF6F1DA" w14:textId="27692F5E" w:rsidR="0094070C" w:rsidRDefault="0020272E"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r>
        <w:rPr>
          <w:rFonts w:ascii="Roboto" w:eastAsia="Times New Roman" w:hAnsi="Roboto" w:cs="Times New Roman"/>
          <w:color w:val="141414"/>
          <w:sz w:val="23"/>
          <w:szCs w:val="23"/>
          <w:lang w:eastAsia="en-AU"/>
        </w:rPr>
        <w:t>To be applied to.</w:t>
      </w:r>
    </w:p>
    <w:p w14:paraId="0EEF7AB8" w14:textId="77777777" w:rsidR="0094070C" w:rsidRDefault="0094070C"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3810A9BC" w14:textId="496E8229" w:rsidR="0020272E" w:rsidRDefault="0020272E" w:rsidP="0020272E">
      <w:pPr>
        <w:pStyle w:val="Heading3"/>
        <w:rPr>
          <w:rFonts w:eastAsia="Times New Roman"/>
          <w:lang w:eastAsia="en-AU"/>
        </w:rPr>
      </w:pPr>
      <w:bookmarkStart w:id="33" w:name="_Toc131144625"/>
      <w:r>
        <w:rPr>
          <w:rFonts w:eastAsia="Times New Roman"/>
          <w:lang w:eastAsia="en-AU"/>
        </w:rPr>
        <w:t>Australian Law Reform Commission</w:t>
      </w:r>
      <w:bookmarkEnd w:id="33"/>
    </w:p>
    <w:p w14:paraId="7CFF158F" w14:textId="59116375" w:rsidR="005C03EA" w:rsidRDefault="00000000" w:rsidP="005C03EA">
      <w:pPr>
        <w:shd w:val="clear" w:color="auto" w:fill="FFFFFF"/>
        <w:spacing w:after="0" w:line="276" w:lineRule="auto"/>
        <w:textAlignment w:val="baseline"/>
        <w:rPr>
          <w:rStyle w:val="Hyperlink"/>
          <w:rFonts w:ascii="Roboto" w:eastAsia="Times New Roman" w:hAnsi="Roboto" w:cs="Times New Roman"/>
          <w:sz w:val="23"/>
          <w:szCs w:val="23"/>
          <w:lang w:eastAsia="en-AU"/>
        </w:rPr>
      </w:pPr>
      <w:hyperlink r:id="rId11" w:history="1">
        <w:r w:rsidR="0020272E" w:rsidRPr="006B430C">
          <w:rPr>
            <w:rStyle w:val="Hyperlink"/>
            <w:rFonts w:ascii="Roboto" w:eastAsia="Times New Roman" w:hAnsi="Roboto" w:cs="Times New Roman"/>
            <w:sz w:val="23"/>
            <w:szCs w:val="23"/>
            <w:lang w:eastAsia="en-AU"/>
          </w:rPr>
          <w:t>https://www.alrc.gov.au/publication/traditional-rights-and-freedoms-encroachments-by-commonwealth-laws-alrc-report-129/4-freedom-of-speech/</w:t>
        </w:r>
      </w:hyperlink>
    </w:p>
    <w:p w14:paraId="0B2164A9" w14:textId="77777777" w:rsidR="0094070C" w:rsidRDefault="0094070C" w:rsidP="005C03EA">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596DAAF3" w14:textId="5597E01A" w:rsidR="0012090A" w:rsidRDefault="0020272E"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r>
        <w:rPr>
          <w:rFonts w:ascii="Roboto" w:eastAsia="Times New Roman" w:hAnsi="Roboto" w:cs="Times New Roman"/>
          <w:color w:val="141414"/>
          <w:sz w:val="23"/>
          <w:szCs w:val="23"/>
          <w:lang w:eastAsia="en-AU"/>
        </w:rPr>
        <w:t>Despite what they claimed they  desisted from assistance in any way whatsoever.</w:t>
      </w:r>
    </w:p>
    <w:p w14:paraId="00C5529F" w14:textId="77777777" w:rsidR="0094070C" w:rsidRDefault="0094070C" w:rsidP="0094070C"/>
    <w:p w14:paraId="2CFF5D01" w14:textId="77777777" w:rsidR="0094070C" w:rsidRPr="0020272E" w:rsidRDefault="0094070C" w:rsidP="0094070C">
      <w:pPr>
        <w:pStyle w:val="Heading3"/>
        <w:rPr>
          <w:rStyle w:val="yhemcb"/>
          <w:rFonts w:cs="Arial"/>
          <w:b w:val="0"/>
          <w:color w:val="202124"/>
          <w:sz w:val="36"/>
          <w:szCs w:val="36"/>
        </w:rPr>
      </w:pPr>
      <w:bookmarkStart w:id="34" w:name="_Toc131144626"/>
      <w:r>
        <w:t>Legal Aid Queensland Head Office</w:t>
      </w:r>
      <w:bookmarkEnd w:id="34"/>
    </w:p>
    <w:p w14:paraId="5B9FAE87" w14:textId="77777777" w:rsidR="0094070C" w:rsidRDefault="0094070C" w:rsidP="0094070C">
      <w:pPr>
        <w:shd w:val="clear" w:color="auto" w:fill="FFFFFF"/>
        <w:spacing w:line="240" w:lineRule="auto"/>
        <w:rPr>
          <w:color w:val="70757A"/>
        </w:rPr>
      </w:pPr>
      <w:r>
        <w:rPr>
          <w:rStyle w:val="yhemcb"/>
          <w:rFonts w:cs="Arial"/>
          <w:color w:val="70757A"/>
          <w:sz w:val="21"/>
          <w:szCs w:val="21"/>
        </w:rPr>
        <w:t>Legal aid office in the Brisbane central business district, Queensland</w:t>
      </w:r>
    </w:p>
    <w:p w14:paraId="17F75B1B" w14:textId="77777777" w:rsidR="0094070C" w:rsidRDefault="00000000" w:rsidP="0094070C">
      <w:pPr>
        <w:pStyle w:val="NoSpacing"/>
        <w:rPr>
          <w:rFonts w:cs="Arial"/>
          <w:color w:val="202124"/>
          <w:sz w:val="21"/>
          <w:szCs w:val="21"/>
        </w:rPr>
      </w:pPr>
      <w:hyperlink r:id="rId12" w:history="1">
        <w:r w:rsidR="0094070C">
          <w:rPr>
            <w:rStyle w:val="Hyperlink"/>
            <w:rFonts w:cs="Arial"/>
            <w:b/>
            <w:bCs/>
            <w:color w:val="202124"/>
            <w:sz w:val="21"/>
            <w:szCs w:val="21"/>
          </w:rPr>
          <w:t>Address</w:t>
        </w:r>
      </w:hyperlink>
      <w:r w:rsidR="0094070C">
        <w:rPr>
          <w:rStyle w:val="w8qarf"/>
          <w:rFonts w:cs="Arial"/>
          <w:b/>
          <w:bCs/>
          <w:color w:val="202124"/>
          <w:sz w:val="21"/>
          <w:szCs w:val="21"/>
        </w:rPr>
        <w:t>: </w:t>
      </w:r>
      <w:r w:rsidR="0094070C">
        <w:rPr>
          <w:rStyle w:val="lrzxr"/>
          <w:rFonts w:cs="Arial"/>
          <w:color w:val="202124"/>
          <w:sz w:val="21"/>
          <w:szCs w:val="21"/>
        </w:rPr>
        <w:t>44 Herschel St, Brisbane City QLD 4000</w:t>
      </w:r>
    </w:p>
    <w:p w14:paraId="23AEE0F8" w14:textId="77777777" w:rsidR="0094070C" w:rsidRDefault="00000000" w:rsidP="0094070C">
      <w:pPr>
        <w:pStyle w:val="NoSpacing"/>
        <w:rPr>
          <w:rFonts w:cs="Arial"/>
          <w:color w:val="202124"/>
          <w:sz w:val="21"/>
          <w:szCs w:val="21"/>
        </w:rPr>
      </w:pPr>
      <w:hyperlink r:id="rId13" w:history="1">
        <w:r w:rsidR="0094070C">
          <w:rPr>
            <w:rStyle w:val="Hyperlink"/>
            <w:rFonts w:cs="Arial"/>
            <w:b/>
            <w:bCs/>
            <w:color w:val="202124"/>
            <w:sz w:val="21"/>
            <w:szCs w:val="21"/>
          </w:rPr>
          <w:t>Phone</w:t>
        </w:r>
      </w:hyperlink>
      <w:r w:rsidR="0094070C">
        <w:rPr>
          <w:rStyle w:val="w8qarf"/>
          <w:rFonts w:cs="Arial"/>
          <w:b/>
          <w:bCs/>
          <w:color w:val="202124"/>
          <w:sz w:val="21"/>
          <w:szCs w:val="21"/>
        </w:rPr>
        <w:t>: </w:t>
      </w:r>
      <w:hyperlink r:id="rId14" w:history="1">
        <w:r w:rsidR="0094070C">
          <w:rPr>
            <w:rStyle w:val="Hyperlink"/>
            <w:rFonts w:cs="Arial"/>
            <w:color w:val="1A0DAB"/>
            <w:sz w:val="21"/>
            <w:szCs w:val="21"/>
          </w:rPr>
          <w:t>1300 651 188</w:t>
        </w:r>
      </w:hyperlink>
    </w:p>
    <w:p w14:paraId="271169CB" w14:textId="094AF581" w:rsidR="0094070C" w:rsidRPr="0094070C" w:rsidRDefault="00000000" w:rsidP="0094070C">
      <w:pPr>
        <w:pStyle w:val="NoSpacing"/>
        <w:rPr>
          <w:rFonts w:ascii="Segoe UI" w:eastAsia="Times New Roman" w:hAnsi="Segoe UI" w:cs="Segoe UI"/>
          <w:lang w:eastAsia="en-AU"/>
        </w:rPr>
      </w:pPr>
      <w:hyperlink r:id="rId15" w:history="1">
        <w:r w:rsidR="0094070C" w:rsidRPr="00C46D7E">
          <w:rPr>
            <w:rStyle w:val="Hyperlink"/>
            <w:rFonts w:ascii="Segoe UI" w:eastAsia="Times New Roman" w:hAnsi="Segoe UI" w:cs="Segoe UI"/>
            <w:lang w:eastAsia="en-AU"/>
          </w:rPr>
          <w:t>https://www.legalaid.qld.gov.au/Home</w:t>
        </w:r>
      </w:hyperlink>
    </w:p>
    <w:p w14:paraId="6214584D" w14:textId="77777777" w:rsidR="0094070C" w:rsidRPr="002D1303" w:rsidRDefault="0094070C" w:rsidP="0094070C">
      <w:pPr>
        <w:pStyle w:val="Heading3"/>
      </w:pPr>
      <w:bookmarkStart w:id="35" w:name="_Toc131144627"/>
      <w:r>
        <w:t>Claxton legal</w:t>
      </w:r>
      <w:bookmarkEnd w:id="35"/>
    </w:p>
    <w:p w14:paraId="418C6DB8" w14:textId="77777777" w:rsidR="0094070C" w:rsidRDefault="00000000" w:rsidP="0094070C">
      <w:pPr>
        <w:rPr>
          <w:rFonts w:cs="Arial"/>
        </w:rPr>
      </w:pPr>
      <w:hyperlink r:id="rId16" w:history="1">
        <w:r w:rsidR="0094070C" w:rsidRPr="001001B2">
          <w:rPr>
            <w:rStyle w:val="Hyperlink"/>
            <w:rFonts w:cs="Arial"/>
          </w:rPr>
          <w:t>https://www.communitylegalqld.org.au/legal-help/caxton-legal-centre/</w:t>
        </w:r>
      </w:hyperlink>
    </w:p>
    <w:p w14:paraId="435A0D53" w14:textId="77777777" w:rsidR="0094070C" w:rsidRDefault="0094070C" w:rsidP="0094070C">
      <w:pPr>
        <w:shd w:val="clear" w:color="auto" w:fill="FFFFFF"/>
        <w:spacing w:after="0" w:line="360" w:lineRule="atLeast"/>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b/>
          <w:bCs/>
          <w:color w:val="141414"/>
          <w:sz w:val="23"/>
          <w:szCs w:val="23"/>
          <w:lang w:eastAsia="en-AU"/>
        </w:rPr>
        <w:t>FOR CLIENTS: Client Services </w:t>
      </w:r>
      <w:r w:rsidRPr="00C96038">
        <w:rPr>
          <w:rFonts w:ascii="Roboto" w:eastAsia="Times New Roman" w:hAnsi="Roboto" w:cs="Times New Roman"/>
          <w:color w:val="141414"/>
          <w:sz w:val="23"/>
          <w:szCs w:val="23"/>
          <w:lang w:eastAsia="en-AU"/>
        </w:rPr>
        <w:t>will talk to you about what assistance you need and book an </w:t>
      </w:r>
      <w:r w:rsidRPr="00C96038">
        <w:rPr>
          <w:rFonts w:ascii="Roboto" w:eastAsia="Times New Roman" w:hAnsi="Roboto" w:cs="Times New Roman"/>
          <w:b/>
          <w:bCs/>
          <w:color w:val="141414"/>
          <w:sz w:val="23"/>
          <w:szCs w:val="23"/>
          <w:bdr w:val="none" w:sz="0" w:space="0" w:color="auto" w:frame="1"/>
          <w:lang w:eastAsia="en-AU"/>
        </w:rPr>
        <w:t>appointment</w:t>
      </w:r>
      <w:r w:rsidRPr="00C96038">
        <w:rPr>
          <w:rFonts w:ascii="Roboto" w:eastAsia="Times New Roman" w:hAnsi="Roboto" w:cs="Times New Roman"/>
          <w:color w:val="141414"/>
          <w:sz w:val="23"/>
          <w:szCs w:val="23"/>
          <w:lang w:eastAsia="en-AU"/>
        </w:rPr>
        <w:t> for the day or evening - call (07) 3214 6333.   Legal help is available for:</w:t>
      </w:r>
    </w:p>
    <w:p w14:paraId="70BE0F0D" w14:textId="77777777" w:rsidR="0094070C" w:rsidRPr="00C96038" w:rsidRDefault="0094070C" w:rsidP="0094070C">
      <w:pPr>
        <w:shd w:val="clear" w:color="auto" w:fill="FFFFFF"/>
        <w:spacing w:after="0" w:line="360" w:lineRule="atLeast"/>
        <w:textAlignment w:val="baseline"/>
        <w:rPr>
          <w:rFonts w:ascii="Roboto" w:eastAsia="Times New Roman" w:hAnsi="Roboto" w:cs="Times New Roman"/>
          <w:color w:val="141414"/>
          <w:sz w:val="23"/>
          <w:szCs w:val="23"/>
          <w:lang w:eastAsia="en-AU"/>
        </w:rPr>
      </w:pPr>
    </w:p>
    <w:p w14:paraId="46546720"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Domestic Violence and Elder Abuse</w:t>
      </w:r>
    </w:p>
    <w:p w14:paraId="2F0504C7"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Family Law</w:t>
      </w:r>
    </w:p>
    <w:p w14:paraId="6E950B13"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Consumer Credit and Debt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66D6CE5D"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Employment Law and Sexual Harassment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59B7A65E"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Discrimination and Human Rights</w:t>
      </w:r>
    </w:p>
    <w:p w14:paraId="75764328"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General Civil and Criminal Law</w:t>
      </w:r>
    </w:p>
    <w:p w14:paraId="54FB3BA8"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 xml:space="preserve">Bail (Arthur </w:t>
      </w:r>
      <w:proofErr w:type="spellStart"/>
      <w:r w:rsidRPr="00C96038">
        <w:rPr>
          <w:rFonts w:ascii="Roboto" w:eastAsia="Times New Roman" w:hAnsi="Roboto" w:cs="Times New Roman"/>
          <w:color w:val="141414"/>
          <w:sz w:val="23"/>
          <w:szCs w:val="23"/>
          <w:lang w:eastAsia="en-AU"/>
        </w:rPr>
        <w:t>Gorrie</w:t>
      </w:r>
      <w:proofErr w:type="spellEnd"/>
      <w:r w:rsidRPr="00C96038">
        <w:rPr>
          <w:rFonts w:ascii="Roboto" w:eastAsia="Times New Roman" w:hAnsi="Roboto" w:cs="Times New Roman"/>
          <w:color w:val="141414"/>
          <w:sz w:val="23"/>
          <w:szCs w:val="23"/>
          <w:lang w:eastAsia="en-AU"/>
        </w:rPr>
        <w:t xml:space="preserve"> Correctional Centre, Brisbane Correctional Centre, Woodford Correctional Centre)</w:t>
      </w:r>
    </w:p>
    <w:p w14:paraId="452C8C0D"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Coronial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59059767" w14:textId="77777777" w:rsidR="0094070C" w:rsidRPr="00C96038"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Retirement Villages and Parks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468E2B9A" w14:textId="77777777" w:rsidR="0094070C" w:rsidRDefault="0094070C" w:rsidP="0094070C">
      <w:pPr>
        <w:numPr>
          <w:ilvl w:val="0"/>
          <w:numId w:val="26"/>
        </w:numPr>
        <w:shd w:val="clear" w:color="auto" w:fill="FFFFFF"/>
        <w:spacing w:after="0" w:line="276" w:lineRule="auto"/>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Social Work Supports</w:t>
      </w:r>
    </w:p>
    <w:p w14:paraId="572B7CF9" w14:textId="77777777" w:rsidR="0094070C" w:rsidRDefault="0094070C"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0B57CF51" w14:textId="50DC4F78" w:rsidR="0094070C" w:rsidRDefault="0094070C"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r>
        <w:rPr>
          <w:rFonts w:ascii="Roboto" w:eastAsia="Times New Roman" w:hAnsi="Roboto" w:cs="Times New Roman"/>
          <w:color w:val="141414"/>
          <w:sz w:val="23"/>
          <w:szCs w:val="23"/>
          <w:lang w:eastAsia="en-AU"/>
        </w:rPr>
        <w:t xml:space="preserve">Letter being prepared to them with motivation why they do not have the resources to assist. Thereby allowing the judge to appoint a panel of lawyers and barristers to provide the necessary to applicant to bring a properly formatted application conforming to the rules of court in order to unburden the court with technical </w:t>
      </w:r>
      <w:proofErr w:type="spellStart"/>
      <w:r>
        <w:rPr>
          <w:rFonts w:ascii="Roboto" w:eastAsia="Times New Roman" w:hAnsi="Roboto" w:cs="Times New Roman"/>
          <w:color w:val="141414"/>
          <w:sz w:val="23"/>
          <w:szCs w:val="23"/>
          <w:lang w:eastAsia="en-AU"/>
        </w:rPr>
        <w:t>defenses</w:t>
      </w:r>
      <w:proofErr w:type="spellEnd"/>
      <w:r>
        <w:rPr>
          <w:rFonts w:ascii="Roboto" w:eastAsia="Times New Roman" w:hAnsi="Roboto" w:cs="Times New Roman"/>
          <w:color w:val="141414"/>
          <w:sz w:val="23"/>
          <w:szCs w:val="23"/>
          <w:lang w:eastAsia="en-AU"/>
        </w:rPr>
        <w:t>.</w:t>
      </w:r>
    </w:p>
    <w:p w14:paraId="2EE18703" w14:textId="1D053E75" w:rsidR="00BC349B" w:rsidRDefault="00BC349B"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6D39C31A" w14:textId="6F36B069" w:rsidR="00BC349B" w:rsidRDefault="00BC349B" w:rsidP="0094070C">
      <w:pPr>
        <w:shd w:val="clear" w:color="auto" w:fill="FFFFFF"/>
        <w:spacing w:after="0" w:line="276" w:lineRule="auto"/>
        <w:textAlignment w:val="baseline"/>
        <w:rPr>
          <w:rFonts w:ascii="Roboto" w:eastAsia="Times New Roman" w:hAnsi="Roboto" w:cs="Times New Roman"/>
          <w:color w:val="141414"/>
          <w:sz w:val="23"/>
          <w:szCs w:val="23"/>
          <w:lang w:eastAsia="en-AU"/>
        </w:rPr>
      </w:pPr>
    </w:p>
    <w:p w14:paraId="201AB20B" w14:textId="52DC0C9D" w:rsidR="00BC349B" w:rsidRPr="0094070C" w:rsidRDefault="00BC349B" w:rsidP="00BC349B">
      <w:pPr>
        <w:pStyle w:val="Heading1"/>
        <w:jc w:val="center"/>
        <w:rPr>
          <w:rFonts w:eastAsia="Times New Roman"/>
          <w:lang w:eastAsia="en-AU"/>
        </w:rPr>
      </w:pPr>
      <w:r>
        <w:rPr>
          <w:rFonts w:eastAsia="Times New Roman"/>
          <w:lang w:eastAsia="en-AU"/>
        </w:rPr>
        <w:t>Draft Application</w:t>
      </w:r>
    </w:p>
    <w:p w14:paraId="5BD4270F" w14:textId="7026F23B" w:rsidR="00B97BE8" w:rsidRDefault="00B97BE8" w:rsidP="00BC349B">
      <w:pPr>
        <w:pStyle w:val="Heading3"/>
        <w:rPr>
          <w:lang w:val="en-US"/>
        </w:rPr>
      </w:pPr>
      <w:bookmarkStart w:id="36" w:name="_Toc130372864"/>
      <w:bookmarkStart w:id="37" w:name="_Toc131144628"/>
      <w:r w:rsidRPr="005C29FB">
        <w:rPr>
          <w:lang w:val="en-US"/>
        </w:rPr>
        <w:t>Legal Pleadings</w:t>
      </w:r>
      <w:bookmarkEnd w:id="36"/>
      <w:bookmarkEnd w:id="37"/>
    </w:p>
    <w:p w14:paraId="2127C802" w14:textId="77777777" w:rsidR="005C03EA" w:rsidRPr="005C03EA" w:rsidRDefault="005C03EA" w:rsidP="005C03EA">
      <w:pPr>
        <w:rPr>
          <w:lang w:val="en-US"/>
        </w:rPr>
      </w:pPr>
    </w:p>
    <w:p w14:paraId="252F3A33" w14:textId="4E8B7E8B" w:rsidR="0094070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r w:rsidRPr="005C29FB">
        <w:rPr>
          <w:rFonts w:eastAsia="Times New Roman" w:cs="Arial"/>
          <w:color w:val="374151"/>
          <w:szCs w:val="24"/>
          <w:lang w:eastAsia="en-AU"/>
        </w:rPr>
        <w:t>Here is an example of a typical public interest application to the International Criminal Court at The Hague, seeking an interdict against crimes against humanity. Please note that this is provided for illustrative purposes only a</w:t>
      </w:r>
      <w:r>
        <w:rPr>
          <w:rFonts w:eastAsia="Times New Roman" w:cs="Arial"/>
          <w:color w:val="374151"/>
          <w:szCs w:val="24"/>
          <w:lang w:eastAsia="en-AU"/>
        </w:rPr>
        <w:t>s</w:t>
      </w:r>
      <w:r w:rsidRPr="005C29FB">
        <w:rPr>
          <w:rFonts w:eastAsia="Times New Roman" w:cs="Arial"/>
          <w:color w:val="374151"/>
          <w:szCs w:val="24"/>
          <w:lang w:eastAsia="en-AU"/>
        </w:rPr>
        <w:t xml:space="preserve"> </w:t>
      </w:r>
      <w:r>
        <w:rPr>
          <w:rFonts w:eastAsia="Times New Roman" w:cs="Arial"/>
          <w:color w:val="374151"/>
          <w:szCs w:val="24"/>
          <w:lang w:eastAsia="en-AU"/>
        </w:rPr>
        <w:t xml:space="preserve">the final applications have been under development by a team of international lawyers from around the world, since 2020. </w:t>
      </w:r>
    </w:p>
    <w:p w14:paraId="58828664" w14:textId="226A99C0" w:rsidR="00BC349B" w:rsidRDefault="00BC349B"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p>
    <w:p w14:paraId="6E99120B" w14:textId="01563227" w:rsidR="00BC349B" w:rsidRDefault="00BC349B"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p>
    <w:p w14:paraId="62CEA2E9" w14:textId="77777777" w:rsidR="00BC349B" w:rsidRDefault="00BC349B"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p>
    <w:p w14:paraId="4BCEF24F" w14:textId="1329B8D0" w:rsidR="00BF6094" w:rsidRDefault="00BF6094"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rPr>
          <w:rFonts w:eastAsia="Times New Roman" w:cs="Arial"/>
          <w:color w:val="374151"/>
          <w:szCs w:val="24"/>
          <w:lang w:eastAsia="en-AU"/>
        </w:rPr>
      </w:pPr>
      <w:r>
        <w:rPr>
          <w:rFonts w:eastAsia="Times New Roman" w:cs="Arial"/>
          <w:color w:val="374151"/>
          <w:szCs w:val="24"/>
          <w:lang w:eastAsia="en-AU"/>
        </w:rPr>
        <w:lastRenderedPageBreak/>
        <w:t>___________________________________________________________________</w:t>
      </w:r>
    </w:p>
    <w:p w14:paraId="470548D3" w14:textId="1F6BE1EC" w:rsidR="00BF6094" w:rsidRPr="004A5A9C" w:rsidRDefault="00B97BE8" w:rsidP="00BF6094">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 w:val="36"/>
          <w:szCs w:val="36"/>
          <w:lang w:eastAsia="en-AU"/>
        </w:rPr>
      </w:pPr>
      <w:r w:rsidRPr="004A5A9C">
        <w:rPr>
          <w:rFonts w:eastAsia="Times New Roman" w:cs="Arial"/>
          <w:b/>
          <w:bCs/>
          <w:color w:val="374151"/>
          <w:sz w:val="36"/>
          <w:szCs w:val="36"/>
          <w:lang w:eastAsia="en-AU"/>
        </w:rPr>
        <w:t>IN THE INTERNATIONAL CRIMINAL COURT</w:t>
      </w:r>
    </w:p>
    <w:p w14:paraId="608DDE81" w14:textId="77777777" w:rsidR="00B97BE8" w:rsidRPr="004A5A9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Cs w:val="24"/>
          <w:lang w:eastAsia="en-AU"/>
        </w:rPr>
      </w:pPr>
      <w:r>
        <w:rPr>
          <w:rFonts w:eastAsia="Times New Roman" w:cs="Arial"/>
          <w:b/>
          <w:bCs/>
          <w:color w:val="374151"/>
          <w:szCs w:val="24"/>
          <w:lang w:eastAsia="en-AU"/>
        </w:rPr>
        <w:t>(</w:t>
      </w:r>
      <w:r w:rsidRPr="004A5A9C">
        <w:rPr>
          <w:rFonts w:eastAsia="Times New Roman" w:cs="Arial"/>
          <w:b/>
          <w:bCs/>
          <w:color w:val="374151"/>
          <w:szCs w:val="24"/>
          <w:lang w:eastAsia="en-AU"/>
        </w:rPr>
        <w:t>Den Hague</w:t>
      </w:r>
      <w:r>
        <w:rPr>
          <w:rFonts w:eastAsia="Times New Roman" w:cs="Arial"/>
          <w:b/>
          <w:bCs/>
          <w:color w:val="374151"/>
          <w:szCs w:val="24"/>
          <w:lang w:eastAsia="en-AU"/>
        </w:rPr>
        <w:t>)</w:t>
      </w:r>
    </w:p>
    <w:p w14:paraId="3D9DD1EE" w14:textId="77777777" w:rsidR="00B97BE8"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sidRPr="005C29FB">
        <w:rPr>
          <w:rFonts w:eastAsia="Times New Roman" w:cs="Arial"/>
          <w:color w:val="374151"/>
          <w:szCs w:val="24"/>
          <w:lang w:eastAsia="en-AU"/>
        </w:rPr>
        <w:t>[Date]</w:t>
      </w:r>
    </w:p>
    <w:p w14:paraId="256DC727" w14:textId="55FB9ADF" w:rsidR="0094070C" w:rsidRDefault="00B97BE8"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Pr>
          <w:rFonts w:eastAsia="Times New Roman" w:cs="Arial"/>
          <w:color w:val="374151"/>
          <w:szCs w:val="24"/>
          <w:lang w:eastAsia="en-AU"/>
        </w:rPr>
        <w:t>Case No _________</w:t>
      </w:r>
    </w:p>
    <w:p w14:paraId="049FF077" w14:textId="4DAE124C" w:rsidR="00B97BE8"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In the matter between</w:t>
      </w:r>
      <w:r w:rsidR="00BF6094">
        <w:rPr>
          <w:rFonts w:eastAsia="Times New Roman" w:cs="Arial"/>
          <w:color w:val="374151"/>
          <w:szCs w:val="24"/>
          <w:lang w:eastAsia="en-AU"/>
        </w:rPr>
        <w:t>: -</w:t>
      </w:r>
    </w:p>
    <w:p w14:paraId="06D8B4E4" w14:textId="664FA5BD" w:rsidR="00B97BE8" w:rsidRDefault="00BF6094"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BF6094">
        <w:rPr>
          <w:rFonts w:eastAsia="Times New Roman" w:cs="Arial"/>
          <w:b/>
          <w:bCs/>
          <w:color w:val="374151"/>
          <w:szCs w:val="24"/>
          <w:lang w:eastAsia="en-AU"/>
        </w:rPr>
        <w:t>Izak Hermanus Labuschagne</w:t>
      </w:r>
      <w:r w:rsidR="00B97BE8" w:rsidRPr="00665D49">
        <w:rPr>
          <w:rFonts w:eastAsia="Times New Roman" w:cs="Arial"/>
          <w:b/>
          <w:bCs/>
          <w:color w:val="374151"/>
          <w:szCs w:val="24"/>
          <w:lang w:eastAsia="en-AU"/>
        </w:rPr>
        <w:t xml:space="preserve"> </w:t>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sidR="00B97BE8">
        <w:rPr>
          <w:rFonts w:eastAsia="Times New Roman" w:cs="Arial"/>
          <w:b/>
          <w:bCs/>
          <w:color w:val="374151"/>
          <w:szCs w:val="24"/>
          <w:lang w:eastAsia="en-AU"/>
        </w:rPr>
        <w:tab/>
      </w:r>
      <w:r>
        <w:rPr>
          <w:rFonts w:eastAsia="Times New Roman" w:cs="Arial"/>
          <w:b/>
          <w:bCs/>
          <w:color w:val="374151"/>
          <w:szCs w:val="24"/>
          <w:lang w:eastAsia="en-AU"/>
        </w:rPr>
        <w:tab/>
      </w:r>
      <w:r w:rsidR="00B97BE8" w:rsidRPr="00665D49">
        <w:rPr>
          <w:rFonts w:eastAsia="Times New Roman" w:cs="Arial"/>
          <w:b/>
          <w:bCs/>
          <w:color w:val="374151"/>
          <w:szCs w:val="24"/>
          <w:lang w:eastAsia="en-AU"/>
        </w:rPr>
        <w:t>Applicant 1</w:t>
      </w:r>
    </w:p>
    <w:p w14:paraId="165F1B91" w14:textId="18963854" w:rsidR="00B97BE8" w:rsidRPr="00665D49"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b/>
          <w:bCs/>
          <w:color w:val="374151"/>
          <w:szCs w:val="24"/>
          <w:lang w:eastAsia="en-AU"/>
        </w:rPr>
      </w:pPr>
      <w:r>
        <w:rPr>
          <w:rFonts w:eastAsia="Times New Roman" w:cs="Arial"/>
          <w:color w:val="374151"/>
          <w:szCs w:val="24"/>
          <w:lang w:eastAsia="en-AU"/>
        </w:rPr>
        <w:t xml:space="preserve">Actio Popularis (in the public interest) </w:t>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p>
    <w:p w14:paraId="6F4A8C57" w14:textId="772641ED" w:rsidR="00B97BE8" w:rsidRDefault="002D55EC" w:rsidP="002D55EC">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EX PARTE    /    IN CAMERA</w:t>
      </w:r>
    </w:p>
    <w:p w14:paraId="04BCDEE5" w14:textId="6660ADCB" w:rsidR="002D55EC" w:rsidRDefault="002D55EC" w:rsidP="002D55EC">
      <w:pPr>
        <w:pBdr>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_____________________________________________________________________</w:t>
      </w:r>
    </w:p>
    <w:p w14:paraId="19F6DA0C" w14:textId="77777777" w:rsidR="00B97BE8" w:rsidRPr="004A5A9C" w:rsidRDefault="00B97BE8" w:rsidP="00B97BE8">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b/>
          <w:bCs/>
          <w:color w:val="374151"/>
          <w:sz w:val="32"/>
          <w:szCs w:val="32"/>
          <w:lang w:eastAsia="en-AU"/>
        </w:rPr>
      </w:pPr>
      <w:r w:rsidRPr="004A5A9C">
        <w:rPr>
          <w:rFonts w:eastAsia="Times New Roman" w:cs="Arial"/>
          <w:b/>
          <w:bCs/>
          <w:color w:val="374151"/>
          <w:sz w:val="32"/>
          <w:szCs w:val="32"/>
          <w:lang w:eastAsia="en-AU"/>
        </w:rPr>
        <w:t>Notice of Motion</w:t>
      </w:r>
    </w:p>
    <w:p w14:paraId="29B4F3F9" w14:textId="1D0780DE" w:rsidR="00B97BE8" w:rsidRDefault="00B97BE8" w:rsidP="002D55EC">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color w:val="374151"/>
          <w:szCs w:val="24"/>
          <w:lang w:eastAsia="en-AU"/>
        </w:rPr>
      </w:pPr>
      <w:r>
        <w:rPr>
          <w:rFonts w:eastAsia="Times New Roman" w:cs="Arial"/>
          <w:color w:val="374151"/>
          <w:szCs w:val="24"/>
          <w:lang w:eastAsia="en-AU"/>
        </w:rPr>
        <w:t xml:space="preserve">(Preceding summons of </w:t>
      </w:r>
      <w:proofErr w:type="spellStart"/>
      <w:r w:rsidRPr="004A5A9C">
        <w:rPr>
          <w:rFonts w:eastAsia="Times New Roman" w:cs="Arial"/>
          <w:i/>
          <w:iCs/>
          <w:color w:val="374151"/>
          <w:szCs w:val="24"/>
          <w:lang w:eastAsia="en-AU"/>
        </w:rPr>
        <w:t>crimen</w:t>
      </w:r>
      <w:proofErr w:type="spellEnd"/>
      <w:r w:rsidRPr="004A5A9C">
        <w:rPr>
          <w:rFonts w:eastAsia="Times New Roman" w:cs="Arial"/>
          <w:i/>
          <w:iCs/>
          <w:color w:val="374151"/>
          <w:szCs w:val="24"/>
          <w:lang w:eastAsia="en-AU"/>
        </w:rPr>
        <w:t xml:space="preserve"> injuria</w:t>
      </w:r>
      <w:r>
        <w:rPr>
          <w:rFonts w:eastAsia="Times New Roman" w:cs="Arial"/>
          <w:color w:val="374151"/>
          <w:szCs w:val="24"/>
          <w:lang w:eastAsia="en-AU"/>
        </w:rPr>
        <w:t xml:space="preserve"> and the delict described in the particulars of claim)</w:t>
      </w:r>
    </w:p>
    <w:p w14:paraId="4987843C" w14:textId="176175EC" w:rsidR="002D55EC" w:rsidRDefault="002D55EC" w:rsidP="002D55EC">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color w:val="374151"/>
          <w:szCs w:val="24"/>
          <w:lang w:eastAsia="en-AU"/>
        </w:rPr>
      </w:pPr>
      <w:r>
        <w:rPr>
          <w:rFonts w:eastAsia="Times New Roman" w:cs="Arial"/>
          <w:color w:val="374151"/>
          <w:szCs w:val="24"/>
          <w:lang w:eastAsia="en-AU"/>
        </w:rPr>
        <w:t>_____________________________________________________________________</w:t>
      </w:r>
    </w:p>
    <w:p w14:paraId="1E005FFD" w14:textId="77777777" w:rsidR="00B97BE8" w:rsidRPr="004A5A9C" w:rsidRDefault="00B97BE8" w:rsidP="00B97BE8">
      <w:pPr>
        <w:pBdr>
          <w:left w:val="single" w:sz="2" w:space="0" w:color="D9D9E3"/>
          <w:bottom w:val="single" w:sz="2" w:space="0" w:color="D9D9E3"/>
          <w:right w:val="single" w:sz="2" w:space="0" w:color="D9D9E3"/>
        </w:pBdr>
        <w:shd w:val="clear" w:color="auto" w:fill="F7F7F8"/>
        <w:spacing w:before="300" w:after="300" w:line="240" w:lineRule="auto"/>
        <w:rPr>
          <w:rFonts w:eastAsia="Times New Roman" w:cs="Arial"/>
          <w:b/>
          <w:bCs/>
          <w:color w:val="374151"/>
          <w:szCs w:val="24"/>
          <w:lang w:eastAsia="en-AU"/>
        </w:rPr>
      </w:pPr>
      <w:r w:rsidRPr="004A5A9C">
        <w:rPr>
          <w:rFonts w:eastAsia="Times New Roman" w:cs="Arial"/>
          <w:b/>
          <w:bCs/>
          <w:color w:val="374151"/>
          <w:szCs w:val="24"/>
          <w:lang w:eastAsia="en-AU"/>
        </w:rPr>
        <w:t>To the registrar of the above honourable court: -</w:t>
      </w:r>
    </w:p>
    <w:p w14:paraId="3C7A733F" w14:textId="124596F9" w:rsidR="00B97BE8" w:rsidRPr="002D55EC" w:rsidRDefault="00B97BE8" w:rsidP="000D4E56">
      <w:pPr>
        <w:spacing w:line="240" w:lineRule="auto"/>
        <w:rPr>
          <w:rFonts w:cs="Arial"/>
          <w:i/>
          <w:iCs/>
          <w:color w:val="5F6368"/>
          <w:szCs w:val="24"/>
          <w:shd w:val="clear" w:color="auto" w:fill="FFFFFF"/>
        </w:rPr>
      </w:pPr>
      <w:r w:rsidRPr="002D55EC">
        <w:rPr>
          <w:rStyle w:val="Emphasis"/>
          <w:rFonts w:cs="Arial"/>
          <w:i w:val="0"/>
          <w:iCs w:val="0"/>
          <w:color w:val="5F6368"/>
          <w:szCs w:val="24"/>
          <w:shd w:val="clear" w:color="auto" w:fill="FFFFFF"/>
        </w:rPr>
        <w:t xml:space="preserve">Oude </w:t>
      </w:r>
      <w:proofErr w:type="spellStart"/>
      <w:r w:rsidRPr="002D55EC">
        <w:rPr>
          <w:rStyle w:val="Emphasis"/>
          <w:rFonts w:cs="Arial"/>
          <w:i w:val="0"/>
          <w:iCs w:val="0"/>
          <w:color w:val="5F6368"/>
          <w:szCs w:val="24"/>
          <w:shd w:val="clear" w:color="auto" w:fill="FFFFFF"/>
        </w:rPr>
        <w:t>Waalsdorperweg</w:t>
      </w:r>
      <w:proofErr w:type="spellEnd"/>
      <w:r w:rsidRPr="002D55EC">
        <w:rPr>
          <w:rStyle w:val="Emphasis"/>
          <w:rFonts w:cs="Arial"/>
          <w:i w:val="0"/>
          <w:iCs w:val="0"/>
          <w:color w:val="5F6368"/>
          <w:szCs w:val="24"/>
          <w:shd w:val="clear" w:color="auto" w:fill="FFFFFF"/>
        </w:rPr>
        <w:t xml:space="preserve"> 10 2597 AK, The Hague</w:t>
      </w:r>
      <w:r w:rsidR="00BF6094" w:rsidRPr="002D55EC">
        <w:rPr>
          <w:rStyle w:val="Emphasis"/>
          <w:rFonts w:cs="Arial"/>
          <w:i w:val="0"/>
          <w:iCs w:val="0"/>
          <w:color w:val="5F6368"/>
          <w:szCs w:val="24"/>
          <w:shd w:val="clear" w:color="auto" w:fill="FFFFFF"/>
        </w:rPr>
        <w:t xml:space="preserve">, </w:t>
      </w:r>
      <w:r w:rsidRPr="002D55EC">
        <w:rPr>
          <w:rStyle w:val="Emphasis"/>
          <w:rFonts w:cs="Arial"/>
          <w:i w:val="0"/>
          <w:iCs w:val="0"/>
          <w:color w:val="5F6368"/>
          <w:szCs w:val="24"/>
          <w:shd w:val="clear" w:color="auto" w:fill="FFFFFF"/>
        </w:rPr>
        <w:t>The Netherlands</w:t>
      </w:r>
      <w:r w:rsidRPr="002D55EC">
        <w:rPr>
          <w:i/>
          <w:iCs/>
          <w:color w:val="4D5156"/>
          <w:szCs w:val="24"/>
          <w:shd w:val="clear" w:color="auto" w:fill="FFFFFF"/>
        </w:rPr>
        <w:t> </w:t>
      </w:r>
    </w:p>
    <w:p w14:paraId="40A40B82" w14:textId="150E54D4" w:rsidR="00B97BE8" w:rsidRDefault="00BF6094" w:rsidP="00B97BE8">
      <w:pPr>
        <w:pBdr>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5C03EA">
        <w:rPr>
          <w:rFonts w:eastAsia="Times New Roman" w:cs="Arial"/>
          <w:b/>
          <w:bCs/>
          <w:color w:val="374151"/>
          <w:szCs w:val="24"/>
          <w:lang w:eastAsia="en-AU"/>
        </w:rPr>
        <w:t>PLEASE TAKE NOTICE</w:t>
      </w:r>
      <w:r>
        <w:rPr>
          <w:rFonts w:eastAsia="Times New Roman" w:cs="Arial"/>
          <w:color w:val="374151"/>
          <w:szCs w:val="24"/>
          <w:lang w:eastAsia="en-AU"/>
        </w:rPr>
        <w:t xml:space="preserve"> </w:t>
      </w:r>
      <w:r w:rsidR="00B97BE8">
        <w:rPr>
          <w:rFonts w:eastAsia="Times New Roman" w:cs="Arial"/>
          <w:color w:val="374151"/>
          <w:szCs w:val="24"/>
          <w:lang w:eastAsia="en-AU"/>
        </w:rPr>
        <w:t>that Applicant 1 is:</w:t>
      </w:r>
      <w:r>
        <w:rPr>
          <w:rFonts w:eastAsia="Times New Roman" w:cs="Arial"/>
          <w:color w:val="374151"/>
          <w:szCs w:val="24"/>
          <w:lang w:eastAsia="en-AU"/>
        </w:rPr>
        <w:t xml:space="preserve"> </w:t>
      </w:r>
      <w:r w:rsidR="00B97BE8">
        <w:rPr>
          <w:rFonts w:eastAsia="Times New Roman" w:cs="Arial"/>
          <w:color w:val="374151"/>
          <w:szCs w:val="24"/>
          <w:lang w:eastAsia="en-AU"/>
        </w:rPr>
        <w:t>-</w:t>
      </w:r>
    </w:p>
    <w:p w14:paraId="34D8621D" w14:textId="3D1E2FCD" w:rsidR="00BF6094" w:rsidRDefault="00BF6094" w:rsidP="00BF6094">
      <w:pPr>
        <w:rPr>
          <w:lang w:eastAsia="en-AU"/>
        </w:rPr>
      </w:pPr>
      <w:r>
        <w:rPr>
          <w:lang w:eastAsia="en-AU"/>
        </w:rPr>
        <w:t>Izak Labuschagne, a male indigent person residing in the jurisdiction under the control and command of the respondent as further set out in the founding affidavit to this application.</w:t>
      </w:r>
    </w:p>
    <w:p w14:paraId="270AA5C9" w14:textId="77777777" w:rsidR="00B97BE8" w:rsidRPr="005C29FB"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5C29FB">
        <w:rPr>
          <w:rFonts w:eastAsia="Times New Roman" w:cs="Arial"/>
          <w:color w:val="374151"/>
          <w:szCs w:val="24"/>
          <w:lang w:eastAsia="en-AU"/>
        </w:rPr>
        <w:t>Dear Sir/Madam,</w:t>
      </w:r>
    </w:p>
    <w:p w14:paraId="0AF5398C" w14:textId="77777777" w:rsidR="002D55EC" w:rsidRDefault="002D55EC"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b/>
          <w:bCs/>
          <w:color w:val="374151"/>
          <w:szCs w:val="24"/>
          <w:u w:val="single"/>
          <w:lang w:eastAsia="en-AU"/>
        </w:rPr>
      </w:pPr>
      <w:r w:rsidRPr="004A5A9C">
        <w:rPr>
          <w:rFonts w:eastAsia="Times New Roman" w:cs="Arial"/>
          <w:b/>
          <w:bCs/>
          <w:color w:val="374151"/>
          <w:szCs w:val="24"/>
          <w:u w:val="single"/>
          <w:lang w:eastAsia="en-AU"/>
        </w:rPr>
        <w:t xml:space="preserve">APPLICATION FOR </w:t>
      </w:r>
      <w:r>
        <w:rPr>
          <w:rFonts w:eastAsia="Times New Roman" w:cs="Arial"/>
          <w:b/>
          <w:bCs/>
          <w:color w:val="374151"/>
          <w:szCs w:val="24"/>
          <w:u w:val="single"/>
          <w:lang w:eastAsia="en-AU"/>
        </w:rPr>
        <w:t>DECLARATION OF STATUS AND RIGHTS ACCOMPANIED BY A PROTECTION ORDER WITH CONDITIONAL ARREST WARRANT</w:t>
      </w:r>
    </w:p>
    <w:p w14:paraId="7725A158" w14:textId="2079AE8D" w:rsidR="00B97BE8" w:rsidRPr="005C29FB" w:rsidRDefault="000D4E56"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665D49">
        <w:rPr>
          <w:rFonts w:eastAsia="Times New Roman" w:cs="Arial"/>
          <w:b/>
          <w:bCs/>
          <w:color w:val="374151"/>
          <w:sz w:val="28"/>
          <w:szCs w:val="28"/>
          <w:lang w:eastAsia="en-AU"/>
        </w:rPr>
        <w:t>PLEASE TAKE NOTICE</w:t>
      </w:r>
      <w:r w:rsidRPr="00665D49">
        <w:rPr>
          <w:rFonts w:eastAsia="Times New Roman" w:cs="Arial"/>
          <w:color w:val="374151"/>
          <w:sz w:val="28"/>
          <w:szCs w:val="28"/>
          <w:lang w:eastAsia="en-AU"/>
        </w:rPr>
        <w:t xml:space="preserve"> </w:t>
      </w:r>
      <w:r w:rsidR="00B97BE8">
        <w:rPr>
          <w:rFonts w:eastAsia="Times New Roman" w:cs="Arial"/>
          <w:color w:val="374151"/>
          <w:szCs w:val="24"/>
          <w:lang w:eastAsia="en-AU"/>
        </w:rPr>
        <w:t xml:space="preserve">that </w:t>
      </w:r>
      <w:r w:rsidR="00B97BE8" w:rsidRPr="005C29FB">
        <w:rPr>
          <w:rFonts w:eastAsia="Times New Roman" w:cs="Arial"/>
          <w:color w:val="374151"/>
          <w:szCs w:val="24"/>
          <w:lang w:eastAsia="en-AU"/>
        </w:rPr>
        <w:t xml:space="preserve">I, </w:t>
      </w:r>
      <w:r>
        <w:rPr>
          <w:rFonts w:eastAsia="Times New Roman" w:cs="Arial"/>
          <w:color w:val="374151"/>
          <w:szCs w:val="24"/>
          <w:lang w:eastAsia="en-AU"/>
        </w:rPr>
        <w:t>Izak Hermanus Labuschagne</w:t>
      </w:r>
      <w:r w:rsidR="00B97BE8" w:rsidRPr="005C29FB">
        <w:rPr>
          <w:rFonts w:eastAsia="Times New Roman" w:cs="Arial"/>
          <w:color w:val="374151"/>
          <w:szCs w:val="24"/>
          <w:lang w:eastAsia="en-AU"/>
        </w:rPr>
        <w:t xml:space="preserve"> of </w:t>
      </w:r>
      <w:r>
        <w:rPr>
          <w:rFonts w:eastAsia="Times New Roman" w:cs="Arial"/>
          <w:color w:val="374151"/>
          <w:szCs w:val="24"/>
          <w:lang w:eastAsia="en-AU"/>
        </w:rPr>
        <w:t>2/10 Chapman Dr., Clinton, 4680, QLD, Australia</w:t>
      </w:r>
      <w:r w:rsidR="00B97BE8" w:rsidRPr="005C29FB">
        <w:rPr>
          <w:rFonts w:eastAsia="Times New Roman" w:cs="Arial"/>
          <w:color w:val="374151"/>
          <w:szCs w:val="24"/>
          <w:lang w:eastAsia="en-AU"/>
        </w:rPr>
        <w:t xml:space="preserve">, make this application to the International Criminal Court pursuant to Article 15 of the Rome Statute, </w:t>
      </w:r>
      <w:r>
        <w:rPr>
          <w:rFonts w:eastAsia="Times New Roman" w:cs="Arial"/>
          <w:color w:val="374151"/>
          <w:szCs w:val="24"/>
          <w:lang w:eastAsia="en-AU"/>
        </w:rPr>
        <w:t>in</w:t>
      </w:r>
      <w:r w:rsidR="00B97BE8" w:rsidRPr="005C29FB">
        <w:rPr>
          <w:rFonts w:eastAsia="Times New Roman" w:cs="Arial"/>
          <w:color w:val="374151"/>
          <w:szCs w:val="24"/>
          <w:lang w:eastAsia="en-AU"/>
        </w:rPr>
        <w:t xml:space="preserve"> the public interest</w:t>
      </w:r>
      <w:r>
        <w:rPr>
          <w:rFonts w:eastAsia="Times New Roman" w:cs="Arial"/>
          <w:color w:val="374151"/>
          <w:szCs w:val="24"/>
          <w:lang w:eastAsia="en-AU"/>
        </w:rPr>
        <w:t>,</w:t>
      </w:r>
      <w:r w:rsidR="00B97BE8" w:rsidRPr="005C29FB">
        <w:rPr>
          <w:rFonts w:eastAsia="Times New Roman" w:cs="Arial"/>
          <w:color w:val="374151"/>
          <w:szCs w:val="24"/>
          <w:lang w:eastAsia="en-AU"/>
        </w:rPr>
        <w:t xml:space="preserve"> the interest of justice</w:t>
      </w:r>
      <w:r>
        <w:rPr>
          <w:rFonts w:eastAsia="Times New Roman" w:cs="Arial"/>
          <w:color w:val="374151"/>
          <w:szCs w:val="24"/>
          <w:lang w:eastAsia="en-AU"/>
        </w:rPr>
        <w:t xml:space="preserve"> and in the context of </w:t>
      </w:r>
      <w:r w:rsidRPr="000D4E56">
        <w:rPr>
          <w:rFonts w:eastAsia="Times New Roman" w:cs="Arial"/>
          <w:i/>
          <w:iCs/>
          <w:color w:val="374151"/>
          <w:szCs w:val="24"/>
          <w:lang w:eastAsia="en-AU"/>
        </w:rPr>
        <w:t>actio popularis</w:t>
      </w:r>
      <w:r>
        <w:rPr>
          <w:rFonts w:eastAsia="Times New Roman" w:cs="Arial"/>
          <w:i/>
          <w:iCs/>
          <w:color w:val="374151"/>
          <w:szCs w:val="24"/>
          <w:lang w:eastAsia="en-AU"/>
        </w:rPr>
        <w:t>.</w:t>
      </w:r>
    </w:p>
    <w:p w14:paraId="79AB9C75" w14:textId="0FED168A" w:rsidR="00B97BE8" w:rsidRPr="005C29FB" w:rsidRDefault="00B97BE8">
      <w:pPr>
        <w:numPr>
          <w:ilvl w:val="0"/>
          <w:numId w:val="14"/>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eastAsia="Times New Roman" w:cs="Arial"/>
          <w:color w:val="374151"/>
          <w:szCs w:val="24"/>
          <w:lang w:eastAsia="en-AU"/>
        </w:rPr>
      </w:pPr>
      <w:r w:rsidRPr="005C29FB">
        <w:rPr>
          <w:rFonts w:eastAsia="Times New Roman" w:cs="Arial"/>
          <w:color w:val="374151"/>
          <w:szCs w:val="24"/>
          <w:lang w:eastAsia="en-AU"/>
        </w:rPr>
        <w:t>The basis for this application is as follows:</w:t>
      </w:r>
      <w:r w:rsidR="000D4E56">
        <w:rPr>
          <w:rFonts w:eastAsia="Times New Roman" w:cs="Arial"/>
          <w:color w:val="374151"/>
          <w:szCs w:val="24"/>
          <w:lang w:eastAsia="en-AU"/>
        </w:rPr>
        <w:t xml:space="preserve"> -</w:t>
      </w:r>
    </w:p>
    <w:p w14:paraId="479E3F7F" w14:textId="5231234C" w:rsidR="00B97BE8" w:rsidRPr="005C29FB" w:rsidRDefault="000D4E56"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lastRenderedPageBreak/>
        <w:t>Violation of the fundamental human rights of the applicant by the commissioner of Police of Queensland, Australia as described in the affidavit of the applicant attached hereto. As such against the s</w:t>
      </w:r>
      <w:r w:rsidR="00B97BE8" w:rsidRPr="005C29FB">
        <w:rPr>
          <w:rFonts w:eastAsia="Times New Roman" w:cs="Arial"/>
          <w:color w:val="374151"/>
          <w:szCs w:val="24"/>
          <w:lang w:eastAsia="en-AU"/>
        </w:rPr>
        <w:t>pecific provisions of the Rome Statute</w:t>
      </w:r>
      <w:r w:rsidR="00B97BE8">
        <w:rPr>
          <w:rFonts w:eastAsia="Times New Roman" w:cs="Arial"/>
          <w:color w:val="374151"/>
          <w:szCs w:val="24"/>
          <w:lang w:eastAsia="en-AU"/>
        </w:rPr>
        <w:t>, Nuremburg Code and other statutes, treaties and regulations</w:t>
      </w:r>
      <w:r w:rsidR="00B97BE8" w:rsidRPr="005C29FB">
        <w:rPr>
          <w:rFonts w:eastAsia="Times New Roman" w:cs="Arial"/>
          <w:color w:val="374151"/>
          <w:szCs w:val="24"/>
          <w:lang w:eastAsia="en-AU"/>
        </w:rPr>
        <w:t xml:space="preserve"> that have been violated, </w:t>
      </w:r>
      <w:r w:rsidR="00BF6094">
        <w:rPr>
          <w:rFonts w:eastAsia="Times New Roman" w:cs="Arial"/>
          <w:color w:val="374151"/>
          <w:szCs w:val="24"/>
          <w:lang w:eastAsia="en-AU"/>
        </w:rPr>
        <w:t>as set out in the said affidavit and its</w:t>
      </w:r>
      <w:r w:rsidR="00B97BE8" w:rsidRPr="005C29FB">
        <w:rPr>
          <w:rFonts w:eastAsia="Times New Roman" w:cs="Arial"/>
          <w:color w:val="374151"/>
          <w:szCs w:val="24"/>
          <w:lang w:eastAsia="en-AU"/>
        </w:rPr>
        <w:t xml:space="preserve"> supporting documentation </w:t>
      </w:r>
      <w:r w:rsidR="00B97BE8">
        <w:rPr>
          <w:rFonts w:eastAsia="Times New Roman" w:cs="Arial"/>
          <w:color w:val="374151"/>
          <w:szCs w:val="24"/>
          <w:lang w:eastAsia="en-AU"/>
        </w:rPr>
        <w:t>and</w:t>
      </w:r>
      <w:r w:rsidR="00B97BE8" w:rsidRPr="005C29FB">
        <w:rPr>
          <w:rFonts w:eastAsia="Times New Roman" w:cs="Arial"/>
          <w:color w:val="374151"/>
          <w:szCs w:val="24"/>
          <w:lang w:eastAsia="en-AU"/>
        </w:rPr>
        <w:t xml:space="preserve"> witness statements, news articles, reports from human rights organizations</w:t>
      </w:r>
      <w:r w:rsidR="00B97BE8">
        <w:rPr>
          <w:rFonts w:eastAsia="Times New Roman" w:cs="Arial"/>
          <w:color w:val="374151"/>
          <w:szCs w:val="24"/>
          <w:lang w:eastAsia="en-AU"/>
        </w:rPr>
        <w:t xml:space="preserve"> etc.</w:t>
      </w:r>
      <w:r w:rsidR="00B97BE8" w:rsidRPr="005C29FB">
        <w:rPr>
          <w:rFonts w:eastAsia="Times New Roman" w:cs="Arial"/>
          <w:color w:val="374151"/>
          <w:szCs w:val="24"/>
          <w:lang w:eastAsia="en-AU"/>
        </w:rPr>
        <w:t>]</w:t>
      </w:r>
    </w:p>
    <w:p w14:paraId="1CF6C2E1" w14:textId="77777777" w:rsidR="00B97BE8" w:rsidRPr="005C29FB" w:rsidRDefault="00B97BE8">
      <w:pPr>
        <w:numPr>
          <w:ilvl w:val="0"/>
          <w:numId w:val="15"/>
        </w:num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eastAsia="Times New Roman" w:cs="Arial"/>
          <w:color w:val="374151"/>
          <w:szCs w:val="24"/>
          <w:lang w:eastAsia="en-AU"/>
        </w:rPr>
      </w:pPr>
      <w:r w:rsidRPr="005C29FB">
        <w:rPr>
          <w:rFonts w:eastAsia="Times New Roman" w:cs="Arial"/>
          <w:color w:val="374151"/>
          <w:szCs w:val="24"/>
          <w:lang w:eastAsia="en-AU"/>
        </w:rPr>
        <w:t>The order that I am seeking is as follows:</w:t>
      </w:r>
    </w:p>
    <w:p w14:paraId="12B18AFA" w14:textId="77777777" w:rsidR="003E7F60" w:rsidRDefault="003E7F60" w:rsidP="003E7F60">
      <w:pPr>
        <w:pStyle w:val="ListParagraph"/>
        <w:numPr>
          <w:ilvl w:val="0"/>
          <w:numId w:val="15"/>
        </w:numPr>
        <w:rPr>
          <w:lang w:eastAsia="en-AU"/>
        </w:rPr>
      </w:pPr>
      <w:bookmarkStart w:id="38" w:name="_Toc130372865"/>
      <w:r>
        <w:rPr>
          <w:lang w:eastAsia="en-AU"/>
        </w:rPr>
        <w:t xml:space="preserve">Under an </w:t>
      </w:r>
      <w:r w:rsidRPr="00B0175E">
        <w:rPr>
          <w:b/>
          <w:bCs/>
          <w:i/>
          <w:iCs/>
          <w:lang w:eastAsia="en-AU"/>
        </w:rPr>
        <w:t xml:space="preserve">in camera, ex </w:t>
      </w:r>
      <w:proofErr w:type="spellStart"/>
      <w:r w:rsidRPr="00B0175E">
        <w:rPr>
          <w:b/>
          <w:bCs/>
          <w:i/>
          <w:iCs/>
          <w:lang w:eastAsia="en-AU"/>
        </w:rPr>
        <w:t>parte</w:t>
      </w:r>
      <w:proofErr w:type="spellEnd"/>
      <w:r>
        <w:rPr>
          <w:lang w:eastAsia="en-AU"/>
        </w:rPr>
        <w:t xml:space="preserve"> application</w:t>
      </w:r>
      <w:r>
        <w:rPr>
          <w:rStyle w:val="FootnoteReference"/>
          <w:lang w:eastAsia="en-AU"/>
        </w:rPr>
        <w:footnoteReference w:id="3"/>
      </w:r>
      <w:r>
        <w:rPr>
          <w:lang w:eastAsia="en-AU"/>
        </w:rPr>
        <w:t xml:space="preserve">, </w:t>
      </w:r>
    </w:p>
    <w:p w14:paraId="402D4D58" w14:textId="77777777" w:rsidR="003E7F60" w:rsidRDefault="003E7F60" w:rsidP="003E7F60">
      <w:pPr>
        <w:pStyle w:val="ListParagraph"/>
        <w:numPr>
          <w:ilvl w:val="1"/>
          <w:numId w:val="15"/>
        </w:numPr>
        <w:rPr>
          <w:lang w:eastAsia="en-AU"/>
        </w:rPr>
      </w:pPr>
      <w:r>
        <w:rPr>
          <w:lang w:eastAsia="en-AU"/>
        </w:rPr>
        <w:t>That these proceedings may be conducted via the internet at the discretion of this honourable court.</w:t>
      </w:r>
    </w:p>
    <w:p w14:paraId="24FD0F79" w14:textId="77777777" w:rsidR="003E7F60" w:rsidRDefault="003E7F60" w:rsidP="003E7F60">
      <w:pPr>
        <w:pStyle w:val="ListParagraph"/>
        <w:numPr>
          <w:ilvl w:val="0"/>
          <w:numId w:val="15"/>
        </w:numPr>
        <w:rPr>
          <w:lang w:eastAsia="en-AU"/>
        </w:rPr>
      </w:pPr>
      <w:r>
        <w:rPr>
          <w:lang w:eastAsia="en-AU"/>
        </w:rPr>
        <w:t xml:space="preserve">An order from an </w:t>
      </w:r>
      <w:r w:rsidRPr="00B0175E">
        <w:rPr>
          <w:b/>
          <w:bCs/>
          <w:lang w:eastAsia="en-AU"/>
        </w:rPr>
        <w:t>appropriate independent and impartial forum</w:t>
      </w:r>
      <w:r>
        <w:rPr>
          <w:rStyle w:val="FootnoteReference"/>
          <w:b/>
          <w:bCs/>
          <w:lang w:eastAsia="en-AU"/>
        </w:rPr>
        <w:footnoteReference w:id="4"/>
      </w:r>
      <w:r>
        <w:rPr>
          <w:lang w:eastAsia="en-AU"/>
        </w:rPr>
        <w:t>: -</w:t>
      </w:r>
    </w:p>
    <w:p w14:paraId="1B475B04" w14:textId="77777777" w:rsidR="003E7F60" w:rsidRDefault="003E7F60" w:rsidP="003E7F60">
      <w:pPr>
        <w:pStyle w:val="ListParagraph"/>
        <w:numPr>
          <w:ilvl w:val="1"/>
          <w:numId w:val="15"/>
        </w:numPr>
        <w:rPr>
          <w:lang w:eastAsia="en-AU"/>
        </w:rPr>
      </w:pPr>
      <w:r>
        <w:rPr>
          <w:lang w:eastAsia="en-AU"/>
        </w:rPr>
        <w:t xml:space="preserve">Declaring the applicant’s legal status in respect of the legal definition of a domestic or international terrorist, </w:t>
      </w:r>
    </w:p>
    <w:p w14:paraId="1B7B7BED" w14:textId="77777777" w:rsidR="003E7F60" w:rsidRDefault="003E7F60" w:rsidP="003E7F60">
      <w:pPr>
        <w:pStyle w:val="ListParagraph"/>
        <w:numPr>
          <w:ilvl w:val="2"/>
          <w:numId w:val="15"/>
        </w:numPr>
        <w:rPr>
          <w:lang w:eastAsia="en-AU"/>
        </w:rPr>
      </w:pPr>
      <w:r>
        <w:rPr>
          <w:lang w:eastAsia="en-AU"/>
        </w:rPr>
        <w:t>in the light of current statute, regulations and internationally accepted standards and definitions.</w:t>
      </w:r>
    </w:p>
    <w:p w14:paraId="6B4DF3E9" w14:textId="77777777" w:rsidR="003E7F60" w:rsidRDefault="003E7F60" w:rsidP="003E7F60">
      <w:pPr>
        <w:pStyle w:val="ListParagraph"/>
        <w:numPr>
          <w:ilvl w:val="0"/>
          <w:numId w:val="15"/>
        </w:numPr>
        <w:rPr>
          <w:lang w:eastAsia="en-AU"/>
        </w:rPr>
      </w:pPr>
      <w:r>
        <w:rPr>
          <w:lang w:eastAsia="en-AU"/>
        </w:rPr>
        <w:t xml:space="preserve">Providing an interim injunction that is binding against any action by any organ or agent of state against the applicant: - </w:t>
      </w:r>
    </w:p>
    <w:p w14:paraId="2893100E" w14:textId="77777777" w:rsidR="003E7F60" w:rsidRDefault="003E7F60" w:rsidP="003E7F60">
      <w:pPr>
        <w:pStyle w:val="ListParagraph"/>
        <w:numPr>
          <w:ilvl w:val="1"/>
          <w:numId w:val="15"/>
        </w:numPr>
        <w:rPr>
          <w:lang w:eastAsia="en-AU"/>
        </w:rPr>
      </w:pPr>
      <w:r>
        <w:rPr>
          <w:lang w:eastAsia="en-AU"/>
        </w:rPr>
        <w:t>in respect of any accusation, claim, action, charge, process or procedure of whatsoever nature,</w:t>
      </w:r>
    </w:p>
    <w:p w14:paraId="2CDBBDD5" w14:textId="77777777" w:rsidR="003E7F60" w:rsidRDefault="003E7F60" w:rsidP="003E7F60">
      <w:pPr>
        <w:pStyle w:val="ListParagraph"/>
        <w:numPr>
          <w:ilvl w:val="2"/>
          <w:numId w:val="15"/>
        </w:numPr>
        <w:rPr>
          <w:lang w:eastAsia="en-AU"/>
        </w:rPr>
      </w:pPr>
      <w:r>
        <w:rPr>
          <w:lang w:eastAsia="en-AU"/>
        </w:rPr>
        <w:t xml:space="preserve">of domestic or international terrorism, </w:t>
      </w:r>
    </w:p>
    <w:p w14:paraId="050E5891" w14:textId="77777777" w:rsidR="003E7F60" w:rsidRDefault="003E7F60" w:rsidP="003E7F60">
      <w:pPr>
        <w:pStyle w:val="ListParagraph"/>
        <w:numPr>
          <w:ilvl w:val="2"/>
          <w:numId w:val="15"/>
        </w:numPr>
        <w:rPr>
          <w:lang w:eastAsia="en-AU"/>
        </w:rPr>
      </w:pPr>
      <w:r>
        <w:rPr>
          <w:lang w:eastAsia="en-AU"/>
        </w:rPr>
        <w:t xml:space="preserve">until such declaration is made </w:t>
      </w:r>
    </w:p>
    <w:p w14:paraId="12687165" w14:textId="77777777" w:rsidR="003E7F60" w:rsidRDefault="003E7F60" w:rsidP="003E7F60">
      <w:pPr>
        <w:pStyle w:val="ListParagraph"/>
        <w:numPr>
          <w:ilvl w:val="2"/>
          <w:numId w:val="15"/>
        </w:numPr>
        <w:rPr>
          <w:lang w:eastAsia="en-AU"/>
        </w:rPr>
      </w:pPr>
      <w:r>
        <w:rPr>
          <w:lang w:eastAsia="en-AU"/>
        </w:rPr>
        <w:t>or these proceedings are finalised.</w:t>
      </w:r>
    </w:p>
    <w:p w14:paraId="4BD2E471" w14:textId="77777777" w:rsidR="003E7F60" w:rsidRDefault="003E7F60" w:rsidP="003E7F60">
      <w:pPr>
        <w:pStyle w:val="ListParagraph"/>
        <w:numPr>
          <w:ilvl w:val="0"/>
          <w:numId w:val="15"/>
        </w:numPr>
        <w:rPr>
          <w:lang w:eastAsia="en-AU"/>
        </w:rPr>
      </w:pPr>
      <w:r>
        <w:rPr>
          <w:lang w:eastAsia="en-AU"/>
        </w:rPr>
        <w:t xml:space="preserve">Appointing such independent and impartial legal counsel to assist (indigent) applicant:- </w:t>
      </w:r>
    </w:p>
    <w:p w14:paraId="74929817" w14:textId="77777777" w:rsidR="003E7F60" w:rsidRDefault="003E7F60" w:rsidP="003E7F60">
      <w:pPr>
        <w:pStyle w:val="ListParagraph"/>
        <w:numPr>
          <w:ilvl w:val="1"/>
          <w:numId w:val="15"/>
        </w:numPr>
        <w:rPr>
          <w:lang w:eastAsia="en-AU"/>
        </w:rPr>
      </w:pPr>
      <w:r>
        <w:rPr>
          <w:lang w:eastAsia="en-AU"/>
        </w:rPr>
        <w:t xml:space="preserve">in making such adjustments to his application in respect of format and content as this honourable court may deem fit to direct, </w:t>
      </w:r>
    </w:p>
    <w:p w14:paraId="36E1B0C7" w14:textId="77777777" w:rsidR="003E7F60" w:rsidRDefault="003E7F60" w:rsidP="003E7F60">
      <w:pPr>
        <w:pStyle w:val="ListParagraph"/>
        <w:numPr>
          <w:ilvl w:val="2"/>
          <w:numId w:val="15"/>
        </w:numPr>
        <w:rPr>
          <w:lang w:eastAsia="en-AU"/>
        </w:rPr>
      </w:pPr>
      <w:r>
        <w:rPr>
          <w:lang w:eastAsia="en-AU"/>
        </w:rPr>
        <w:t xml:space="preserve">in the interest of justice, </w:t>
      </w:r>
    </w:p>
    <w:p w14:paraId="0B47970A" w14:textId="77777777" w:rsidR="003E7F60" w:rsidRDefault="003E7F60" w:rsidP="003E7F60">
      <w:pPr>
        <w:pStyle w:val="ListParagraph"/>
        <w:numPr>
          <w:ilvl w:val="2"/>
          <w:numId w:val="15"/>
        </w:numPr>
        <w:rPr>
          <w:lang w:eastAsia="en-AU"/>
        </w:rPr>
      </w:pPr>
      <w:r>
        <w:rPr>
          <w:lang w:eastAsia="en-AU"/>
        </w:rPr>
        <w:t xml:space="preserve">particularity of definition, </w:t>
      </w:r>
    </w:p>
    <w:p w14:paraId="547A1ED1" w14:textId="77777777" w:rsidR="003E7F60" w:rsidRDefault="003E7F60" w:rsidP="003E7F60">
      <w:pPr>
        <w:pStyle w:val="ListParagraph"/>
        <w:numPr>
          <w:ilvl w:val="2"/>
          <w:numId w:val="15"/>
        </w:numPr>
        <w:rPr>
          <w:lang w:eastAsia="en-AU"/>
        </w:rPr>
      </w:pPr>
      <w:r>
        <w:rPr>
          <w:lang w:eastAsia="en-AU"/>
        </w:rPr>
        <w:t xml:space="preserve">and so as to prevent any unnecessary delay </w:t>
      </w:r>
    </w:p>
    <w:p w14:paraId="6BFD1D00" w14:textId="77777777" w:rsidR="003E7F60" w:rsidRDefault="003E7F60" w:rsidP="003E7F60">
      <w:pPr>
        <w:pStyle w:val="ListParagraph"/>
        <w:numPr>
          <w:ilvl w:val="2"/>
          <w:numId w:val="15"/>
        </w:numPr>
        <w:rPr>
          <w:lang w:eastAsia="en-AU"/>
        </w:rPr>
      </w:pPr>
      <w:r>
        <w:rPr>
          <w:lang w:eastAsia="en-AU"/>
        </w:rPr>
        <w:t>or protraction of proceedings.</w:t>
      </w:r>
    </w:p>
    <w:p w14:paraId="684E8A79" w14:textId="77777777" w:rsidR="003E7F60" w:rsidRDefault="003E7F60" w:rsidP="003E7F60">
      <w:pPr>
        <w:pStyle w:val="ListParagraph"/>
        <w:numPr>
          <w:ilvl w:val="0"/>
          <w:numId w:val="15"/>
        </w:numPr>
        <w:rPr>
          <w:lang w:eastAsia="en-AU"/>
        </w:rPr>
      </w:pPr>
      <w:r>
        <w:rPr>
          <w:lang w:eastAsia="en-AU"/>
        </w:rPr>
        <w:t>Directing that the matter be treated as urgent at the discretion of this honourable court.</w:t>
      </w:r>
    </w:p>
    <w:p w14:paraId="28233F5E" w14:textId="77777777" w:rsidR="003E7F60" w:rsidRDefault="003E7F60" w:rsidP="003E7F60">
      <w:pPr>
        <w:pStyle w:val="ListParagraph"/>
        <w:numPr>
          <w:ilvl w:val="0"/>
          <w:numId w:val="15"/>
        </w:numPr>
        <w:rPr>
          <w:lang w:eastAsia="en-AU"/>
        </w:rPr>
      </w:pPr>
      <w:r>
        <w:rPr>
          <w:lang w:eastAsia="en-AU"/>
        </w:rPr>
        <w:t>Directing to dispense with certain procedure at the discretion of this honourable court.</w:t>
      </w:r>
    </w:p>
    <w:p w14:paraId="68F8891F" w14:textId="46A9DB83" w:rsidR="00BF6094" w:rsidRPr="00BC349B" w:rsidRDefault="003E7F60" w:rsidP="00BC349B">
      <w:pPr>
        <w:pStyle w:val="ListParagraph"/>
        <w:numPr>
          <w:ilvl w:val="0"/>
          <w:numId w:val="15"/>
        </w:numPr>
        <w:rPr>
          <w:lang w:eastAsia="en-AU"/>
        </w:rPr>
      </w:pPr>
      <w:r>
        <w:rPr>
          <w:lang w:eastAsia="en-AU"/>
        </w:rPr>
        <w:t>Such other order that this honourable court deems fit, apt or necessary.</w:t>
      </w:r>
    </w:p>
    <w:p w14:paraId="37DDE0C3" w14:textId="77777777" w:rsidR="00BF6094" w:rsidRPr="00BF6094" w:rsidRDefault="00BF6094" w:rsidP="00BF6094">
      <w:pPr>
        <w:pBdr>
          <w:top w:val="single" w:sz="2" w:space="0" w:color="D9D9E3"/>
          <w:left w:val="single" w:sz="2" w:space="5" w:color="D9D9E3"/>
          <w:bottom w:val="single" w:sz="2" w:space="0" w:color="D9D9E3"/>
          <w:right w:val="single" w:sz="2" w:space="0" w:color="D9D9E3"/>
        </w:pBdr>
        <w:shd w:val="clear" w:color="auto" w:fill="F7F7F8"/>
        <w:spacing w:after="0" w:line="240" w:lineRule="auto"/>
        <w:rPr>
          <w:rFonts w:eastAsia="Times New Roman" w:cs="Arial"/>
          <w:color w:val="374151"/>
          <w:szCs w:val="24"/>
          <w:lang w:eastAsia="en-AU"/>
        </w:rPr>
      </w:pPr>
    </w:p>
    <w:p w14:paraId="49604FD4" w14:textId="37DA947A" w:rsidR="00BF6094" w:rsidRDefault="00BF6094" w:rsidP="00BF6094">
      <w:pPr>
        <w:jc w:val="right"/>
        <w:rPr>
          <w:rFonts w:eastAsia="Times New Roman" w:cs="Arial"/>
          <w:color w:val="374151"/>
          <w:szCs w:val="24"/>
          <w:lang w:eastAsia="en-AU"/>
        </w:rPr>
      </w:pPr>
      <w:r>
        <w:rPr>
          <w:rFonts w:eastAsia="Times New Roman" w:cs="Arial"/>
          <w:color w:val="374151"/>
          <w:szCs w:val="24"/>
          <w:lang w:eastAsia="en-AU"/>
        </w:rPr>
        <w:t>______________</w:t>
      </w:r>
    </w:p>
    <w:p w14:paraId="5A99BA07" w14:textId="44BAC8DF" w:rsidR="00BF6094" w:rsidRDefault="00BF6094" w:rsidP="00BF6094">
      <w:pPr>
        <w:jc w:val="right"/>
      </w:pPr>
      <w:r>
        <w:t>Izak Labuschagne</w:t>
      </w:r>
    </w:p>
    <w:p w14:paraId="4CB8E548" w14:textId="7D4826D8" w:rsidR="00BF6094" w:rsidRDefault="00BF6094" w:rsidP="00BF6094">
      <w:pPr>
        <w:jc w:val="right"/>
      </w:pPr>
      <w:r>
        <w:t>+61452578992</w:t>
      </w:r>
    </w:p>
    <w:p w14:paraId="459193BB" w14:textId="2C4CACF3" w:rsidR="00BF6094" w:rsidRPr="00F55B8A" w:rsidRDefault="00000000" w:rsidP="00BC349B">
      <w:pPr>
        <w:jc w:val="right"/>
      </w:pPr>
      <w:hyperlink r:id="rId17" w:history="1">
        <w:r w:rsidR="00BF6094" w:rsidRPr="00636709">
          <w:rPr>
            <w:rStyle w:val="Hyperlink"/>
          </w:rPr>
          <w:t>izak@izak.co.za</w:t>
        </w:r>
      </w:hyperlink>
      <w:r w:rsidR="00BF6094">
        <w:t xml:space="preserve"> </w:t>
      </w:r>
    </w:p>
    <w:p w14:paraId="47C4956F" w14:textId="5271EF1A" w:rsidR="00B97BE8" w:rsidRDefault="00B97BE8" w:rsidP="0070386B">
      <w:pPr>
        <w:pStyle w:val="Heading1"/>
        <w:jc w:val="center"/>
      </w:pPr>
      <w:bookmarkStart w:id="39" w:name="_Toc131144629"/>
      <w:r>
        <w:lastRenderedPageBreak/>
        <w:t>Draft Order</w:t>
      </w:r>
      <w:bookmarkEnd w:id="38"/>
      <w:bookmarkEnd w:id="39"/>
    </w:p>
    <w:p w14:paraId="5BA5A75A" w14:textId="77777777" w:rsidR="00B97BE8" w:rsidRPr="004A5A9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 w:val="36"/>
          <w:szCs w:val="36"/>
          <w:lang w:eastAsia="en-AU"/>
        </w:rPr>
      </w:pPr>
      <w:r w:rsidRPr="004A5A9C">
        <w:rPr>
          <w:rFonts w:eastAsia="Times New Roman" w:cs="Arial"/>
          <w:b/>
          <w:bCs/>
          <w:color w:val="374151"/>
          <w:sz w:val="36"/>
          <w:szCs w:val="36"/>
          <w:lang w:eastAsia="en-AU"/>
        </w:rPr>
        <w:t>IN THE INTERNATIONAL CRIMINAL COURT</w:t>
      </w:r>
    </w:p>
    <w:p w14:paraId="7D121457" w14:textId="77777777" w:rsidR="00B97BE8" w:rsidRPr="004A5A9C" w:rsidRDefault="00B97BE8" w:rsidP="00B97BE8">
      <w:pPr>
        <w:pBdr>
          <w:top w:val="single" w:sz="2" w:space="0" w:color="D9D9E3"/>
          <w:left w:val="single" w:sz="2" w:space="0" w:color="D9D9E3"/>
          <w:bottom w:val="single" w:sz="2" w:space="0" w:color="D9D9E3"/>
          <w:right w:val="single" w:sz="2" w:space="0" w:color="D9D9E3"/>
        </w:pBdr>
        <w:shd w:val="clear" w:color="auto" w:fill="F7F7F8"/>
        <w:spacing w:after="300" w:line="240" w:lineRule="auto"/>
        <w:jc w:val="center"/>
        <w:rPr>
          <w:rFonts w:eastAsia="Times New Roman" w:cs="Arial"/>
          <w:b/>
          <w:bCs/>
          <w:color w:val="374151"/>
          <w:szCs w:val="24"/>
          <w:lang w:eastAsia="en-AU"/>
        </w:rPr>
      </w:pPr>
      <w:r>
        <w:rPr>
          <w:rFonts w:eastAsia="Times New Roman" w:cs="Arial"/>
          <w:b/>
          <w:bCs/>
          <w:color w:val="374151"/>
          <w:szCs w:val="24"/>
          <w:lang w:eastAsia="en-AU"/>
        </w:rPr>
        <w:t>(</w:t>
      </w:r>
      <w:r w:rsidRPr="004A5A9C">
        <w:rPr>
          <w:rFonts w:eastAsia="Times New Roman" w:cs="Arial"/>
          <w:b/>
          <w:bCs/>
          <w:color w:val="374151"/>
          <w:szCs w:val="24"/>
          <w:lang w:eastAsia="en-AU"/>
        </w:rPr>
        <w:t>Den Hague</w:t>
      </w:r>
      <w:r>
        <w:rPr>
          <w:rFonts w:eastAsia="Times New Roman" w:cs="Arial"/>
          <w:b/>
          <w:bCs/>
          <w:color w:val="374151"/>
          <w:szCs w:val="24"/>
          <w:lang w:eastAsia="en-AU"/>
        </w:rPr>
        <w:t>)</w:t>
      </w:r>
    </w:p>
    <w:p w14:paraId="39A335FB" w14:textId="77777777" w:rsidR="00B97BE8"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sidRPr="005C29FB">
        <w:rPr>
          <w:rFonts w:eastAsia="Times New Roman" w:cs="Arial"/>
          <w:color w:val="374151"/>
          <w:szCs w:val="24"/>
          <w:lang w:eastAsia="en-AU"/>
        </w:rPr>
        <w:t>[Date]</w:t>
      </w:r>
    </w:p>
    <w:p w14:paraId="455AB912" w14:textId="77777777" w:rsidR="00B97BE8" w:rsidRPr="005C29FB" w:rsidRDefault="00B97BE8" w:rsidP="00B97BE8">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jc w:val="right"/>
        <w:rPr>
          <w:rFonts w:eastAsia="Times New Roman" w:cs="Arial"/>
          <w:color w:val="374151"/>
          <w:szCs w:val="24"/>
          <w:lang w:eastAsia="en-AU"/>
        </w:rPr>
      </w:pPr>
      <w:r>
        <w:rPr>
          <w:rFonts w:eastAsia="Times New Roman" w:cs="Arial"/>
          <w:color w:val="374151"/>
          <w:szCs w:val="24"/>
          <w:lang w:eastAsia="en-AU"/>
        </w:rPr>
        <w:t>Case No _________</w:t>
      </w:r>
    </w:p>
    <w:p w14:paraId="385FF3C1" w14:textId="77777777" w:rsidR="00BF6094" w:rsidRDefault="00BF6094"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Pr>
          <w:rFonts w:eastAsia="Times New Roman" w:cs="Arial"/>
          <w:color w:val="374151"/>
          <w:szCs w:val="24"/>
          <w:lang w:eastAsia="en-AU"/>
        </w:rPr>
        <w:t>In the matter between: -</w:t>
      </w:r>
    </w:p>
    <w:p w14:paraId="5416F619" w14:textId="77777777" w:rsidR="00BF6094" w:rsidRDefault="00BF6094"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color w:val="374151"/>
          <w:szCs w:val="24"/>
          <w:lang w:eastAsia="en-AU"/>
        </w:rPr>
      </w:pPr>
      <w:r w:rsidRPr="00BF6094">
        <w:rPr>
          <w:rFonts w:eastAsia="Times New Roman" w:cs="Arial"/>
          <w:b/>
          <w:bCs/>
          <w:color w:val="374151"/>
          <w:szCs w:val="24"/>
          <w:lang w:eastAsia="en-AU"/>
        </w:rPr>
        <w:t>Izak Hermanus Labuschagne</w:t>
      </w:r>
      <w:r w:rsidRPr="00665D49">
        <w:rPr>
          <w:rFonts w:eastAsia="Times New Roman" w:cs="Arial"/>
          <w:b/>
          <w:bCs/>
          <w:color w:val="374151"/>
          <w:szCs w:val="24"/>
          <w:lang w:eastAsia="en-AU"/>
        </w:rPr>
        <w:t xml:space="preserve"> </w:t>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Pr>
          <w:rFonts w:eastAsia="Times New Roman" w:cs="Arial"/>
          <w:b/>
          <w:bCs/>
          <w:color w:val="374151"/>
          <w:szCs w:val="24"/>
          <w:lang w:eastAsia="en-AU"/>
        </w:rPr>
        <w:tab/>
      </w:r>
      <w:r w:rsidRPr="00665D49">
        <w:rPr>
          <w:rFonts w:eastAsia="Times New Roman" w:cs="Arial"/>
          <w:b/>
          <w:bCs/>
          <w:color w:val="374151"/>
          <w:szCs w:val="24"/>
          <w:lang w:eastAsia="en-AU"/>
        </w:rPr>
        <w:t>Applicant 1</w:t>
      </w:r>
    </w:p>
    <w:p w14:paraId="0FEC05C3" w14:textId="1AAFBCBB" w:rsidR="00BF6094" w:rsidRPr="00665D49" w:rsidRDefault="00BF6094" w:rsidP="00BF6094">
      <w:pPr>
        <w:pBdr>
          <w:top w:val="single" w:sz="2" w:space="0" w:color="D9D9E3"/>
          <w:left w:val="single" w:sz="2" w:space="0" w:color="D9D9E3"/>
          <w:bottom w:val="single" w:sz="2" w:space="0" w:color="D9D9E3"/>
          <w:right w:val="single" w:sz="2" w:space="0" w:color="D9D9E3"/>
        </w:pBdr>
        <w:shd w:val="clear" w:color="auto" w:fill="F7F7F8"/>
        <w:spacing w:before="300" w:after="300" w:line="240" w:lineRule="auto"/>
        <w:rPr>
          <w:rFonts w:eastAsia="Times New Roman" w:cs="Arial"/>
          <w:b/>
          <w:bCs/>
          <w:color w:val="374151"/>
          <w:szCs w:val="24"/>
          <w:lang w:eastAsia="en-AU"/>
        </w:rPr>
      </w:pPr>
      <w:r>
        <w:rPr>
          <w:rFonts w:eastAsia="Times New Roman" w:cs="Arial"/>
          <w:color w:val="374151"/>
          <w:szCs w:val="24"/>
          <w:lang w:eastAsia="en-AU"/>
        </w:rPr>
        <w:t>Actio Popularis (in the public interest</w:t>
      </w:r>
      <w:r w:rsidR="003E7F60">
        <w:rPr>
          <w:rFonts w:eastAsia="Times New Roman" w:cs="Arial"/>
          <w:color w:val="374151"/>
          <w:szCs w:val="24"/>
          <w:lang w:eastAsia="en-AU"/>
        </w:rPr>
        <w:t xml:space="preserve"> Ex </w:t>
      </w:r>
      <w:proofErr w:type="spellStart"/>
      <w:r w:rsidR="003E7F60">
        <w:rPr>
          <w:rFonts w:eastAsia="Times New Roman" w:cs="Arial"/>
          <w:color w:val="374151"/>
          <w:szCs w:val="24"/>
          <w:lang w:eastAsia="en-AU"/>
        </w:rPr>
        <w:t>parte</w:t>
      </w:r>
      <w:proofErr w:type="spellEnd"/>
      <w:r>
        <w:rPr>
          <w:rFonts w:eastAsia="Times New Roman" w:cs="Arial"/>
          <w:color w:val="374151"/>
          <w:szCs w:val="24"/>
          <w:lang w:eastAsia="en-AU"/>
        </w:rPr>
        <w:t xml:space="preserve">) </w:t>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r>
        <w:rPr>
          <w:rFonts w:eastAsia="Times New Roman" w:cs="Arial"/>
          <w:color w:val="374151"/>
          <w:szCs w:val="24"/>
          <w:lang w:eastAsia="en-AU"/>
        </w:rPr>
        <w:tab/>
      </w:r>
    </w:p>
    <w:p w14:paraId="1D0694D3" w14:textId="77777777" w:rsidR="00B97BE8" w:rsidRDefault="00B97BE8" w:rsidP="00B97BE8">
      <w:pPr>
        <w:pBdr>
          <w:top w:val="single" w:sz="2" w:space="0" w:color="D9D9E3"/>
          <w:left w:val="single" w:sz="2" w:space="0" w:color="D9D9E3"/>
          <w:bottom w:val="single" w:sz="12" w:space="1" w:color="auto"/>
          <w:right w:val="single" w:sz="2" w:space="0" w:color="D9D9E3"/>
        </w:pBdr>
        <w:shd w:val="clear" w:color="auto" w:fill="F7F7F8"/>
        <w:spacing w:before="300" w:after="300" w:line="240" w:lineRule="auto"/>
        <w:rPr>
          <w:rFonts w:eastAsia="Times New Roman" w:cs="Arial"/>
          <w:color w:val="374151"/>
          <w:szCs w:val="24"/>
          <w:lang w:eastAsia="en-AU"/>
        </w:rPr>
      </w:pPr>
    </w:p>
    <w:p w14:paraId="2088215F" w14:textId="77777777" w:rsidR="00B97BE8" w:rsidRPr="004A5A9C" w:rsidRDefault="00B97BE8" w:rsidP="00B97BE8">
      <w:pPr>
        <w:pBdr>
          <w:left w:val="single" w:sz="2" w:space="0" w:color="D9D9E3"/>
          <w:bottom w:val="single" w:sz="2" w:space="0" w:color="D9D9E3"/>
          <w:right w:val="single" w:sz="2" w:space="0" w:color="D9D9E3"/>
        </w:pBdr>
        <w:shd w:val="clear" w:color="auto" w:fill="F7F7F8"/>
        <w:spacing w:before="300" w:after="300" w:line="240" w:lineRule="auto"/>
        <w:jc w:val="center"/>
        <w:rPr>
          <w:rFonts w:eastAsia="Times New Roman" w:cs="Arial"/>
          <w:b/>
          <w:bCs/>
          <w:color w:val="374151"/>
          <w:sz w:val="32"/>
          <w:szCs w:val="32"/>
          <w:lang w:eastAsia="en-AU"/>
        </w:rPr>
      </w:pPr>
      <w:r>
        <w:rPr>
          <w:rFonts w:eastAsia="Times New Roman" w:cs="Arial"/>
          <w:b/>
          <w:bCs/>
          <w:color w:val="374151"/>
          <w:sz w:val="32"/>
          <w:szCs w:val="32"/>
          <w:lang w:eastAsia="en-AU"/>
        </w:rPr>
        <w:t>DRAFT ORDER</w:t>
      </w:r>
    </w:p>
    <w:p w14:paraId="2174EE43" w14:textId="77777777" w:rsidR="00B97BE8" w:rsidRDefault="00B97BE8" w:rsidP="00B97BE8">
      <w:pPr>
        <w:pBdr>
          <w:left w:val="single" w:sz="2" w:space="0" w:color="D9D9E3"/>
          <w:bottom w:val="single" w:sz="12" w:space="1" w:color="auto"/>
          <w:right w:val="single" w:sz="2" w:space="0" w:color="D9D9E3"/>
        </w:pBdr>
        <w:shd w:val="clear" w:color="auto" w:fill="F7F7F8"/>
        <w:spacing w:before="300" w:after="300" w:line="240" w:lineRule="auto"/>
        <w:rPr>
          <w:rFonts w:eastAsia="Times New Roman" w:cs="Arial"/>
          <w:color w:val="374151"/>
          <w:szCs w:val="24"/>
          <w:lang w:eastAsia="en-AU"/>
        </w:rPr>
      </w:pPr>
    </w:p>
    <w:p w14:paraId="1DE55563" w14:textId="77777777" w:rsidR="00B97BE8" w:rsidRDefault="00B97BE8" w:rsidP="0094070C">
      <w:pPr>
        <w:rPr>
          <w:rFonts w:cs="Arial"/>
        </w:rPr>
      </w:pPr>
    </w:p>
    <w:p w14:paraId="3F33D7FD" w14:textId="29E722D2" w:rsidR="00B97BE8" w:rsidRDefault="00B97BE8" w:rsidP="00B97BE8">
      <w:pPr>
        <w:rPr>
          <w:rFonts w:cs="Arial"/>
        </w:rPr>
      </w:pPr>
      <w:r>
        <w:rPr>
          <w:rFonts w:cs="Arial"/>
        </w:rPr>
        <w:t>It is the order of the above honourable court: -</w:t>
      </w:r>
    </w:p>
    <w:p w14:paraId="4939F3EF" w14:textId="77777777" w:rsidR="003E7F60" w:rsidRDefault="003E7F60" w:rsidP="003E7F60">
      <w:pPr>
        <w:pStyle w:val="ListParagraph"/>
        <w:numPr>
          <w:ilvl w:val="0"/>
          <w:numId w:val="60"/>
        </w:numPr>
        <w:rPr>
          <w:lang w:eastAsia="en-AU"/>
        </w:rPr>
      </w:pPr>
      <w:bookmarkStart w:id="40" w:name="_Toc130372866"/>
      <w:r>
        <w:rPr>
          <w:lang w:eastAsia="en-AU"/>
        </w:rPr>
        <w:t xml:space="preserve">Under an </w:t>
      </w:r>
      <w:r w:rsidRPr="00B0175E">
        <w:rPr>
          <w:b/>
          <w:bCs/>
          <w:i/>
          <w:iCs/>
          <w:lang w:eastAsia="en-AU"/>
        </w:rPr>
        <w:t xml:space="preserve">in camera, ex </w:t>
      </w:r>
      <w:proofErr w:type="spellStart"/>
      <w:r w:rsidRPr="00B0175E">
        <w:rPr>
          <w:b/>
          <w:bCs/>
          <w:i/>
          <w:iCs/>
          <w:lang w:eastAsia="en-AU"/>
        </w:rPr>
        <w:t>parte</w:t>
      </w:r>
      <w:proofErr w:type="spellEnd"/>
      <w:r>
        <w:rPr>
          <w:lang w:eastAsia="en-AU"/>
        </w:rPr>
        <w:t xml:space="preserve"> application</w:t>
      </w:r>
      <w:r>
        <w:rPr>
          <w:rStyle w:val="FootnoteReference"/>
          <w:lang w:eastAsia="en-AU"/>
        </w:rPr>
        <w:footnoteReference w:id="5"/>
      </w:r>
      <w:r>
        <w:rPr>
          <w:lang w:eastAsia="en-AU"/>
        </w:rPr>
        <w:t xml:space="preserve">, </w:t>
      </w:r>
    </w:p>
    <w:p w14:paraId="4F4FF6C2" w14:textId="77777777" w:rsidR="003E7F60" w:rsidRDefault="003E7F60" w:rsidP="003E7F60">
      <w:pPr>
        <w:pStyle w:val="ListParagraph"/>
        <w:numPr>
          <w:ilvl w:val="1"/>
          <w:numId w:val="60"/>
        </w:numPr>
        <w:rPr>
          <w:lang w:eastAsia="en-AU"/>
        </w:rPr>
      </w:pPr>
      <w:r>
        <w:rPr>
          <w:lang w:eastAsia="en-AU"/>
        </w:rPr>
        <w:t>That these proceedings may be conducted via the internet at the discretion of this honourable court.</w:t>
      </w:r>
    </w:p>
    <w:p w14:paraId="49BA4FA3" w14:textId="77777777" w:rsidR="003E7F60" w:rsidRDefault="003E7F60" w:rsidP="003E7F60">
      <w:pPr>
        <w:pStyle w:val="ListParagraph"/>
        <w:numPr>
          <w:ilvl w:val="0"/>
          <w:numId w:val="60"/>
        </w:numPr>
        <w:rPr>
          <w:lang w:eastAsia="en-AU"/>
        </w:rPr>
      </w:pPr>
      <w:r>
        <w:rPr>
          <w:lang w:eastAsia="en-AU"/>
        </w:rPr>
        <w:t xml:space="preserve">An order from an </w:t>
      </w:r>
      <w:r w:rsidRPr="00B0175E">
        <w:rPr>
          <w:b/>
          <w:bCs/>
          <w:lang w:eastAsia="en-AU"/>
        </w:rPr>
        <w:t>appropriate independent and impartial forum</w:t>
      </w:r>
      <w:r>
        <w:rPr>
          <w:rStyle w:val="FootnoteReference"/>
          <w:b/>
          <w:bCs/>
          <w:lang w:eastAsia="en-AU"/>
        </w:rPr>
        <w:footnoteReference w:id="6"/>
      </w:r>
      <w:r>
        <w:rPr>
          <w:lang w:eastAsia="en-AU"/>
        </w:rPr>
        <w:t>: -</w:t>
      </w:r>
    </w:p>
    <w:p w14:paraId="0B8DEDEB" w14:textId="77777777" w:rsidR="003E7F60" w:rsidRDefault="003E7F60" w:rsidP="003E7F60">
      <w:pPr>
        <w:pStyle w:val="ListParagraph"/>
        <w:numPr>
          <w:ilvl w:val="1"/>
          <w:numId w:val="60"/>
        </w:numPr>
        <w:rPr>
          <w:lang w:eastAsia="en-AU"/>
        </w:rPr>
      </w:pPr>
      <w:r>
        <w:rPr>
          <w:lang w:eastAsia="en-AU"/>
        </w:rPr>
        <w:t xml:space="preserve">Declaring the applicant’s legal status in respect of the legal definition of a domestic or international terrorist, </w:t>
      </w:r>
    </w:p>
    <w:p w14:paraId="5EED11B5" w14:textId="77777777" w:rsidR="003E7F60" w:rsidRDefault="003E7F60" w:rsidP="003E7F60">
      <w:pPr>
        <w:pStyle w:val="ListParagraph"/>
        <w:numPr>
          <w:ilvl w:val="2"/>
          <w:numId w:val="60"/>
        </w:numPr>
        <w:rPr>
          <w:lang w:eastAsia="en-AU"/>
        </w:rPr>
      </w:pPr>
      <w:r>
        <w:rPr>
          <w:lang w:eastAsia="en-AU"/>
        </w:rPr>
        <w:t>in the light of current statute, regulations and internationally accepted standards and definitions.</w:t>
      </w:r>
    </w:p>
    <w:p w14:paraId="47CD3594" w14:textId="77777777" w:rsidR="003E7F60" w:rsidRDefault="003E7F60" w:rsidP="003E7F60">
      <w:pPr>
        <w:pStyle w:val="ListParagraph"/>
        <w:numPr>
          <w:ilvl w:val="0"/>
          <w:numId w:val="60"/>
        </w:numPr>
        <w:rPr>
          <w:lang w:eastAsia="en-AU"/>
        </w:rPr>
      </w:pPr>
      <w:r>
        <w:rPr>
          <w:lang w:eastAsia="en-AU"/>
        </w:rPr>
        <w:t xml:space="preserve">Providing an interim injunction that is binding against any action by any organ or agent of state against the applicant: - </w:t>
      </w:r>
    </w:p>
    <w:p w14:paraId="268D4D07" w14:textId="77777777" w:rsidR="003E7F60" w:rsidRDefault="003E7F60" w:rsidP="003E7F60">
      <w:pPr>
        <w:pStyle w:val="ListParagraph"/>
        <w:numPr>
          <w:ilvl w:val="1"/>
          <w:numId w:val="60"/>
        </w:numPr>
        <w:rPr>
          <w:lang w:eastAsia="en-AU"/>
        </w:rPr>
      </w:pPr>
      <w:r>
        <w:rPr>
          <w:lang w:eastAsia="en-AU"/>
        </w:rPr>
        <w:t>in respect of any accusation, claim, action, charge, process or procedure of whatsoever nature,</w:t>
      </w:r>
    </w:p>
    <w:p w14:paraId="15D0CC5A" w14:textId="77777777" w:rsidR="003E7F60" w:rsidRDefault="003E7F60" w:rsidP="003E7F60">
      <w:pPr>
        <w:pStyle w:val="ListParagraph"/>
        <w:numPr>
          <w:ilvl w:val="2"/>
          <w:numId w:val="60"/>
        </w:numPr>
        <w:rPr>
          <w:lang w:eastAsia="en-AU"/>
        </w:rPr>
      </w:pPr>
      <w:r>
        <w:rPr>
          <w:lang w:eastAsia="en-AU"/>
        </w:rPr>
        <w:t xml:space="preserve">of domestic or international terrorism, </w:t>
      </w:r>
    </w:p>
    <w:p w14:paraId="063C6520" w14:textId="77777777" w:rsidR="003E7F60" w:rsidRDefault="003E7F60" w:rsidP="003E7F60">
      <w:pPr>
        <w:pStyle w:val="ListParagraph"/>
        <w:numPr>
          <w:ilvl w:val="2"/>
          <w:numId w:val="60"/>
        </w:numPr>
        <w:rPr>
          <w:lang w:eastAsia="en-AU"/>
        </w:rPr>
      </w:pPr>
      <w:r>
        <w:rPr>
          <w:lang w:eastAsia="en-AU"/>
        </w:rPr>
        <w:t xml:space="preserve">until such declaration is made </w:t>
      </w:r>
    </w:p>
    <w:p w14:paraId="56003A97" w14:textId="77777777" w:rsidR="003E7F60" w:rsidRDefault="003E7F60" w:rsidP="003E7F60">
      <w:pPr>
        <w:pStyle w:val="ListParagraph"/>
        <w:numPr>
          <w:ilvl w:val="2"/>
          <w:numId w:val="60"/>
        </w:numPr>
        <w:rPr>
          <w:lang w:eastAsia="en-AU"/>
        </w:rPr>
      </w:pPr>
      <w:r>
        <w:rPr>
          <w:lang w:eastAsia="en-AU"/>
        </w:rPr>
        <w:t>or these proceedings are finalised.</w:t>
      </w:r>
    </w:p>
    <w:p w14:paraId="61D49503" w14:textId="77777777" w:rsidR="003E7F60" w:rsidRDefault="003E7F60" w:rsidP="003E7F60">
      <w:pPr>
        <w:pStyle w:val="ListParagraph"/>
        <w:numPr>
          <w:ilvl w:val="0"/>
          <w:numId w:val="60"/>
        </w:numPr>
        <w:rPr>
          <w:lang w:eastAsia="en-AU"/>
        </w:rPr>
      </w:pPr>
      <w:r>
        <w:rPr>
          <w:lang w:eastAsia="en-AU"/>
        </w:rPr>
        <w:t xml:space="preserve">Appointing such independent and impartial legal counsel to assist (indigent) applicant:- </w:t>
      </w:r>
    </w:p>
    <w:p w14:paraId="33656BFB" w14:textId="77777777" w:rsidR="003E7F60" w:rsidRDefault="003E7F60" w:rsidP="003E7F60">
      <w:pPr>
        <w:pStyle w:val="ListParagraph"/>
        <w:numPr>
          <w:ilvl w:val="1"/>
          <w:numId w:val="60"/>
        </w:numPr>
        <w:rPr>
          <w:lang w:eastAsia="en-AU"/>
        </w:rPr>
      </w:pPr>
      <w:r>
        <w:rPr>
          <w:lang w:eastAsia="en-AU"/>
        </w:rPr>
        <w:t xml:space="preserve">in making such adjustments to his application in respect of format and content as this honourable court may deem fit to direct, </w:t>
      </w:r>
    </w:p>
    <w:p w14:paraId="54EC587F" w14:textId="77777777" w:rsidR="003E7F60" w:rsidRDefault="003E7F60" w:rsidP="003E7F60">
      <w:pPr>
        <w:pStyle w:val="ListParagraph"/>
        <w:numPr>
          <w:ilvl w:val="2"/>
          <w:numId w:val="60"/>
        </w:numPr>
        <w:rPr>
          <w:lang w:eastAsia="en-AU"/>
        </w:rPr>
      </w:pPr>
      <w:r>
        <w:rPr>
          <w:lang w:eastAsia="en-AU"/>
        </w:rPr>
        <w:t xml:space="preserve">in the interest of justice, </w:t>
      </w:r>
    </w:p>
    <w:p w14:paraId="0A0BD196" w14:textId="77777777" w:rsidR="003E7F60" w:rsidRDefault="003E7F60" w:rsidP="003E7F60">
      <w:pPr>
        <w:pStyle w:val="ListParagraph"/>
        <w:numPr>
          <w:ilvl w:val="2"/>
          <w:numId w:val="60"/>
        </w:numPr>
        <w:rPr>
          <w:lang w:eastAsia="en-AU"/>
        </w:rPr>
      </w:pPr>
      <w:r>
        <w:rPr>
          <w:lang w:eastAsia="en-AU"/>
        </w:rPr>
        <w:lastRenderedPageBreak/>
        <w:t xml:space="preserve">particularity of definition, </w:t>
      </w:r>
    </w:p>
    <w:p w14:paraId="02742BFB" w14:textId="77777777" w:rsidR="003E7F60" w:rsidRDefault="003E7F60" w:rsidP="003E7F60">
      <w:pPr>
        <w:pStyle w:val="ListParagraph"/>
        <w:numPr>
          <w:ilvl w:val="2"/>
          <w:numId w:val="60"/>
        </w:numPr>
        <w:rPr>
          <w:lang w:eastAsia="en-AU"/>
        </w:rPr>
      </w:pPr>
      <w:r>
        <w:rPr>
          <w:lang w:eastAsia="en-AU"/>
        </w:rPr>
        <w:t xml:space="preserve">and so as to prevent any unnecessary delay </w:t>
      </w:r>
    </w:p>
    <w:p w14:paraId="3DC7F069" w14:textId="77777777" w:rsidR="003E7F60" w:rsidRDefault="003E7F60" w:rsidP="003E7F60">
      <w:pPr>
        <w:pStyle w:val="ListParagraph"/>
        <w:numPr>
          <w:ilvl w:val="2"/>
          <w:numId w:val="60"/>
        </w:numPr>
        <w:rPr>
          <w:lang w:eastAsia="en-AU"/>
        </w:rPr>
      </w:pPr>
      <w:r>
        <w:rPr>
          <w:lang w:eastAsia="en-AU"/>
        </w:rPr>
        <w:t>or protraction of proceedings.</w:t>
      </w:r>
    </w:p>
    <w:p w14:paraId="3A5EB6C7" w14:textId="77777777" w:rsidR="003E7F60" w:rsidRDefault="003E7F60" w:rsidP="003E7F60">
      <w:pPr>
        <w:pStyle w:val="ListParagraph"/>
        <w:numPr>
          <w:ilvl w:val="0"/>
          <w:numId w:val="60"/>
        </w:numPr>
        <w:rPr>
          <w:lang w:eastAsia="en-AU"/>
        </w:rPr>
      </w:pPr>
      <w:r>
        <w:rPr>
          <w:lang w:eastAsia="en-AU"/>
        </w:rPr>
        <w:t>Directing that the matter be treated as urgent at the discretion of this honourable court.</w:t>
      </w:r>
    </w:p>
    <w:p w14:paraId="5E96B779" w14:textId="77777777" w:rsidR="003E7F60" w:rsidRDefault="003E7F60" w:rsidP="003E7F60">
      <w:pPr>
        <w:pStyle w:val="ListParagraph"/>
        <w:numPr>
          <w:ilvl w:val="0"/>
          <w:numId w:val="60"/>
        </w:numPr>
        <w:rPr>
          <w:lang w:eastAsia="en-AU"/>
        </w:rPr>
      </w:pPr>
      <w:r>
        <w:rPr>
          <w:lang w:eastAsia="en-AU"/>
        </w:rPr>
        <w:t>Directing to dispense with certain procedure at the discretion of this honourable court.</w:t>
      </w:r>
    </w:p>
    <w:p w14:paraId="7597EF72" w14:textId="655F74E7" w:rsidR="003E7F60" w:rsidRDefault="003E7F60" w:rsidP="003E7F60">
      <w:pPr>
        <w:pStyle w:val="ListParagraph"/>
        <w:numPr>
          <w:ilvl w:val="0"/>
          <w:numId w:val="60"/>
        </w:numPr>
        <w:jc w:val="center"/>
      </w:pPr>
      <w:r>
        <w:rPr>
          <w:lang w:eastAsia="en-AU"/>
        </w:rPr>
        <w:t>Such other order that this honourable court deems fit, apt or necessary.</w:t>
      </w:r>
    </w:p>
    <w:p w14:paraId="7606FA38" w14:textId="77777777" w:rsidR="003E7F60" w:rsidRDefault="003E7F60" w:rsidP="003E7F60"/>
    <w:p w14:paraId="595FC14A" w14:textId="01CB79A9" w:rsidR="00B97BE8" w:rsidRPr="005C29FB" w:rsidRDefault="00B97BE8" w:rsidP="003E7F60">
      <w:pPr>
        <w:pStyle w:val="Heading1"/>
        <w:jc w:val="center"/>
      </w:pPr>
      <w:bookmarkStart w:id="41" w:name="_Toc131144630"/>
      <w:r>
        <w:t>Draft Pleadings</w:t>
      </w:r>
      <w:bookmarkEnd w:id="40"/>
      <w:bookmarkEnd w:id="41"/>
    </w:p>
    <w:p w14:paraId="49871151" w14:textId="10E96323" w:rsidR="00B97BE8" w:rsidRPr="005C29FB" w:rsidRDefault="00121D48" w:rsidP="00B97BE8">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rPr>
          <w:rFonts w:ascii="Arial" w:hAnsi="Arial" w:cs="Arial"/>
          <w:color w:val="374151"/>
        </w:rPr>
      </w:pPr>
      <w:r>
        <w:rPr>
          <w:rFonts w:ascii="Arial" w:hAnsi="Arial" w:cs="Arial"/>
          <w:color w:val="374151"/>
        </w:rPr>
        <w:t>To</w:t>
      </w:r>
      <w:r w:rsidR="00B97BE8" w:rsidRPr="005C29FB">
        <w:rPr>
          <w:rFonts w:ascii="Arial" w:hAnsi="Arial" w:cs="Arial"/>
          <w:color w:val="374151"/>
        </w:rPr>
        <w:t xml:space="preserve"> justify a public interest application for relief against crimes against humanity to the International Criminal Court at The Hague:</w:t>
      </w:r>
    </w:p>
    <w:p w14:paraId="5DB03DAB" w14:textId="77777777" w:rsidR="00B97BE8" w:rsidRPr="005C29FB" w:rsidRDefault="00B97BE8" w:rsidP="00B97BE8">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Arial" w:hAnsi="Arial" w:cs="Arial"/>
          <w:color w:val="374151"/>
        </w:rPr>
      </w:pPr>
      <w:r w:rsidRPr="005C29FB">
        <w:rPr>
          <w:rFonts w:ascii="Arial" w:hAnsi="Arial" w:cs="Arial"/>
          <w:color w:val="374151"/>
        </w:rPr>
        <w:t>PLEADINGS:</w:t>
      </w:r>
    </w:p>
    <w:p w14:paraId="4D3AC2E1" w14:textId="4CB7F5B8"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Introduction</w:t>
      </w:r>
      <w:r w:rsidRPr="005C29FB">
        <w:rPr>
          <w:rFonts w:ascii="Arial" w:hAnsi="Arial" w:cs="Arial"/>
          <w:color w:val="374151"/>
        </w:rPr>
        <w:t xml:space="preserve"> </w:t>
      </w:r>
      <w:r w:rsidRPr="004A5A9C">
        <w:rPr>
          <w:rFonts w:ascii="Arial" w:hAnsi="Arial" w:cs="Arial"/>
          <w:color w:val="374151"/>
        </w:rPr>
        <w:t>a. Identification of Applicant b. Summary of the matter c. Statement of relief sought</w:t>
      </w:r>
    </w:p>
    <w:p w14:paraId="485A6A3C" w14:textId="77777777" w:rsidR="00121D48" w:rsidRPr="004A5A9C"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rPr>
          <w:rFonts w:ascii="Arial" w:hAnsi="Arial" w:cs="Arial"/>
          <w:color w:val="374151"/>
        </w:rPr>
      </w:pPr>
    </w:p>
    <w:p w14:paraId="625311F2" w14:textId="4FAA6A32"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 xml:space="preserve">Jurisdiction </w:t>
      </w:r>
      <w:r w:rsidRPr="005C29FB">
        <w:rPr>
          <w:rFonts w:ascii="Arial" w:hAnsi="Arial" w:cs="Arial"/>
          <w:color w:val="374151"/>
        </w:rPr>
        <w:t>a. The jurisdiction of the International Criminal Court b. The Crimes Against Humanity Act c. The Rome Statute of the International Criminal Court</w:t>
      </w:r>
    </w:p>
    <w:p w14:paraId="57B8D74E"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27E45372" w14:textId="58C29098"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 xml:space="preserve">Background </w:t>
      </w:r>
      <w:r w:rsidRPr="005C29FB">
        <w:rPr>
          <w:rFonts w:ascii="Arial" w:hAnsi="Arial" w:cs="Arial"/>
          <w:color w:val="374151"/>
        </w:rPr>
        <w:t>a. Historical context of the conflict b. The role of the alleged perpetrators in the conflict c. The gravity of the alleged crimes</w:t>
      </w:r>
    </w:p>
    <w:p w14:paraId="3B31FE52"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7D6210C8" w14:textId="12E31B4D"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Allegations</w:t>
      </w:r>
      <w:r w:rsidRPr="005C29FB">
        <w:rPr>
          <w:rFonts w:ascii="Arial" w:hAnsi="Arial" w:cs="Arial"/>
          <w:color w:val="374151"/>
        </w:rPr>
        <w:t xml:space="preserve"> a. The specific allegations of crimes against humanity b. Evidence supporting the allegations c. The alleged perpetrators</w:t>
      </w:r>
    </w:p>
    <w:p w14:paraId="2D9B1CC9"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362AB6BA" w14:textId="77777777" w:rsidR="00B97BE8" w:rsidRDefault="00B97BE8">
      <w:pPr>
        <w:pStyle w:val="NormalWeb"/>
        <w:numPr>
          <w:ilvl w:val="0"/>
          <w:numId w:val="17"/>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5C29FB">
        <w:rPr>
          <w:rFonts w:ascii="Arial" w:hAnsi="Arial" w:cs="Arial"/>
          <w:color w:val="374151"/>
        </w:rPr>
        <w:t>Relief Sought a. Specific relief sought by the applicant b. Reasons for seeking relief from the International Criminal Court</w:t>
      </w:r>
    </w:p>
    <w:p w14:paraId="7F65A0B7" w14:textId="77777777" w:rsidR="00B97BE8" w:rsidRPr="005C29FB" w:rsidRDefault="00B97BE8" w:rsidP="00B97BE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78D38736" w14:textId="1EEA4E93" w:rsidR="00B97BE8" w:rsidRPr="005C29FB" w:rsidRDefault="00B97BE8" w:rsidP="00B97BE8">
      <w:pPr>
        <w:pStyle w:val="Heading2"/>
        <w:jc w:val="center"/>
      </w:pPr>
      <w:bookmarkStart w:id="42" w:name="_Toc130372867"/>
      <w:bookmarkStart w:id="43" w:name="_Toc131144631"/>
      <w:r>
        <w:t xml:space="preserve">DRAFT </w:t>
      </w:r>
      <w:r w:rsidRPr="005C29FB">
        <w:t>HEADS OF ARGUMENT:</w:t>
      </w:r>
      <w:bookmarkEnd w:id="42"/>
      <w:bookmarkEnd w:id="43"/>
    </w:p>
    <w:p w14:paraId="65F710D6" w14:textId="0D856656"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Jurisdiction</w:t>
      </w:r>
      <w:r w:rsidRPr="005C29FB">
        <w:rPr>
          <w:rFonts w:ascii="Arial" w:hAnsi="Arial" w:cs="Arial"/>
          <w:color w:val="374151"/>
        </w:rPr>
        <w:t xml:space="preserve"> a. The International Criminal Court has jurisdiction over crimes against humanity b. The applicant has standing to bring a public interest application</w:t>
      </w:r>
    </w:p>
    <w:p w14:paraId="51B39E0C"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ind w:left="720"/>
        <w:rPr>
          <w:rFonts w:ascii="Arial" w:hAnsi="Arial" w:cs="Arial"/>
          <w:color w:val="374151"/>
        </w:rPr>
      </w:pPr>
    </w:p>
    <w:p w14:paraId="524DC313" w14:textId="72C32406"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Alleged Crimes</w:t>
      </w:r>
      <w:r w:rsidRPr="005C29FB">
        <w:rPr>
          <w:rFonts w:ascii="Arial" w:hAnsi="Arial" w:cs="Arial"/>
          <w:color w:val="374151"/>
        </w:rPr>
        <w:t xml:space="preserve"> a. The alleged crimes against humanity are well documented b. The gravity of the alleged crimes warrants intervention by the International Criminal Court</w:t>
      </w:r>
    </w:p>
    <w:p w14:paraId="4349E913"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0C4187DF" w14:textId="0058F115"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Alleged Perpetrators</w:t>
      </w:r>
      <w:r w:rsidRPr="005C29FB">
        <w:rPr>
          <w:rFonts w:ascii="Arial" w:hAnsi="Arial" w:cs="Arial"/>
          <w:color w:val="374151"/>
        </w:rPr>
        <w:t xml:space="preserve"> a. The alleged perpetrators are responsible for crimes against humanity b. The alleged perpetrators have not been held accountable for their actions</w:t>
      </w:r>
    </w:p>
    <w:p w14:paraId="6F2550AC"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490632EE" w14:textId="390E68BB"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Role of the International Criminal Court</w:t>
      </w:r>
      <w:r w:rsidRPr="005C29FB">
        <w:rPr>
          <w:rFonts w:ascii="Arial" w:hAnsi="Arial" w:cs="Arial"/>
          <w:color w:val="374151"/>
        </w:rPr>
        <w:t xml:space="preserve"> a. The International Criminal Court has a duty to investigate and prosecute crimes against humanity b. The </w:t>
      </w:r>
      <w:r w:rsidRPr="005C29FB">
        <w:rPr>
          <w:rFonts w:ascii="Arial" w:hAnsi="Arial" w:cs="Arial"/>
          <w:color w:val="374151"/>
        </w:rPr>
        <w:lastRenderedPageBreak/>
        <w:t>International Criminal Court is a vital tool in the fight against impunity for crimes against humanity</w:t>
      </w:r>
    </w:p>
    <w:p w14:paraId="78D49F4D"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0DDCA1CA" w14:textId="124EB7C5" w:rsidR="00B97BE8" w:rsidRDefault="00B97BE8">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Public Interest</w:t>
      </w:r>
      <w:r w:rsidRPr="005C29FB">
        <w:rPr>
          <w:rFonts w:ascii="Arial" w:hAnsi="Arial" w:cs="Arial"/>
          <w:color w:val="374151"/>
        </w:rPr>
        <w:t xml:space="preserve"> a. The public has a right to accountability for crimes against humanity b. The public has an interest in ensuring that those responsible for crimes against humanity are held accountable</w:t>
      </w:r>
    </w:p>
    <w:p w14:paraId="70ECAB6C" w14:textId="77777777" w:rsidR="00121D48" w:rsidRPr="005C29FB" w:rsidRDefault="00121D48" w:rsidP="00121D48">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473968B2" w14:textId="1A14AA12" w:rsidR="00F55B8A" w:rsidRDefault="00B97BE8" w:rsidP="0094070C">
      <w:pPr>
        <w:pStyle w:val="NormalWeb"/>
        <w:numPr>
          <w:ilvl w:val="0"/>
          <w:numId w:val="18"/>
        </w:numPr>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r w:rsidRPr="00121D48">
        <w:rPr>
          <w:rFonts w:ascii="Arial" w:hAnsi="Arial" w:cs="Arial"/>
          <w:b/>
          <w:bCs/>
          <w:color w:val="374151"/>
        </w:rPr>
        <w:t>The Relief Sought</w:t>
      </w:r>
      <w:r w:rsidRPr="005C29FB">
        <w:rPr>
          <w:rFonts w:ascii="Arial" w:hAnsi="Arial" w:cs="Arial"/>
          <w:color w:val="374151"/>
        </w:rPr>
        <w:t xml:space="preserve"> a. The relief sought by the applicant is necessary to ensure accountability for crimes against humanity b. The relief sought is in the public interest and will contribute to the fight against impunity for crimes against humanity.</w:t>
      </w:r>
    </w:p>
    <w:p w14:paraId="4D48134F" w14:textId="77777777" w:rsidR="003E7F60" w:rsidRDefault="003E7F60" w:rsidP="003E7F60">
      <w:pPr>
        <w:pStyle w:val="ListParagraph"/>
        <w:rPr>
          <w:rFonts w:cs="Arial"/>
          <w:color w:val="374151"/>
        </w:rPr>
      </w:pPr>
    </w:p>
    <w:p w14:paraId="25CD3A73" w14:textId="77777777" w:rsidR="003E7F60" w:rsidRPr="0094070C" w:rsidRDefault="003E7F60" w:rsidP="003E7F60">
      <w:pPr>
        <w:pStyle w:val="NormalWeb"/>
        <w:pBdr>
          <w:top w:val="single" w:sz="2" w:space="0" w:color="D9D9E3"/>
          <w:left w:val="single" w:sz="2" w:space="5" w:color="D9D9E3"/>
          <w:bottom w:val="single" w:sz="2" w:space="0" w:color="D9D9E3"/>
          <w:right w:val="single" w:sz="2" w:space="0" w:color="D9D9E3"/>
        </w:pBdr>
        <w:shd w:val="clear" w:color="auto" w:fill="F7F7F8"/>
        <w:spacing w:before="0" w:beforeAutospacing="0" w:after="0" w:afterAutospacing="0"/>
        <w:rPr>
          <w:rFonts w:ascii="Arial" w:hAnsi="Arial" w:cs="Arial"/>
          <w:color w:val="374151"/>
        </w:rPr>
      </w:pPr>
    </w:p>
    <w:p w14:paraId="7947EED8" w14:textId="7727C71B" w:rsidR="00AA6C32" w:rsidRDefault="0070386B" w:rsidP="0070386B">
      <w:pPr>
        <w:pStyle w:val="Heading2"/>
      </w:pPr>
      <w:bookmarkStart w:id="44" w:name="_Toc131144632"/>
      <w:r>
        <w:t>Other cases referenced and links to evidence</w:t>
      </w:r>
      <w:bookmarkEnd w:id="44"/>
    </w:p>
    <w:p w14:paraId="4C0E537D" w14:textId="41C23A43" w:rsidR="0070386B" w:rsidRDefault="0070386B" w:rsidP="00B97BE8">
      <w:pPr>
        <w:rPr>
          <w:rFonts w:cs="Arial"/>
        </w:rPr>
      </w:pPr>
      <w:r>
        <w:rPr>
          <w:rFonts w:cs="Arial"/>
        </w:rPr>
        <w:t xml:space="preserve">These appear under the Actio Popularis initiative under </w:t>
      </w:r>
      <w:hyperlink r:id="rId18" w:history="1">
        <w:r w:rsidRPr="00CF1E22">
          <w:rPr>
            <w:rStyle w:val="Hyperlink"/>
            <w:rFonts w:cs="Arial"/>
          </w:rPr>
          <w:t>www.irff.online</w:t>
        </w:r>
      </w:hyperlink>
      <w:r>
        <w:rPr>
          <w:rFonts w:cs="Arial"/>
        </w:rPr>
        <w:t xml:space="preserve"> </w:t>
      </w:r>
    </w:p>
    <w:p w14:paraId="39C3863E" w14:textId="6DAC27C2" w:rsidR="00AA6C32" w:rsidRDefault="00AA6C32" w:rsidP="00B97BE8">
      <w:pPr>
        <w:rPr>
          <w:rFonts w:cs="Arial"/>
        </w:rPr>
      </w:pPr>
    </w:p>
    <w:p w14:paraId="007E3D75" w14:textId="79CE1D77" w:rsidR="004F2E2B" w:rsidRDefault="004F2E2B" w:rsidP="00B97BE8">
      <w:pPr>
        <w:rPr>
          <w:rFonts w:cs="Arial"/>
        </w:rPr>
      </w:pPr>
      <w:r>
        <w:rPr>
          <w:noProof/>
        </w:rPr>
        <w:drawing>
          <wp:inline distT="0" distB="0" distL="0" distR="0" wp14:anchorId="59D47998" wp14:editId="76A93773">
            <wp:extent cx="5731510" cy="9836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983615"/>
                    </a:xfrm>
                    <a:prstGeom prst="rect">
                      <a:avLst/>
                    </a:prstGeom>
                    <a:noFill/>
                    <a:ln>
                      <a:noFill/>
                    </a:ln>
                  </pic:spPr>
                </pic:pic>
              </a:graphicData>
            </a:graphic>
          </wp:inline>
        </w:drawing>
      </w:r>
    </w:p>
    <w:p w14:paraId="0C7B32D3" w14:textId="42627AA9" w:rsidR="004F2E2B" w:rsidRDefault="00000000" w:rsidP="00B97BE8">
      <w:pPr>
        <w:rPr>
          <w:rFonts w:cs="Arial"/>
        </w:rPr>
      </w:pPr>
      <w:hyperlink r:id="rId20" w:anchor=":~:text=Australia%20promotes%20and%20protects%20human,its%20consistent%20and%20comprehensive%20implementation" w:history="1">
        <w:r w:rsidR="004F2E2B" w:rsidRPr="008C3571">
          <w:rPr>
            <w:rStyle w:val="Hyperlink"/>
            <w:rFonts w:cs="Arial"/>
          </w:rPr>
          <w:t>https://www.dfat.gov.au/international-relations/themes/human-rights#:~:text=Australia%20promotes%20and%20protects%20human,its%20consistent%20and%20comprehensive%20implementation</w:t>
        </w:r>
      </w:hyperlink>
      <w:r w:rsidR="004F2E2B" w:rsidRPr="004F2E2B">
        <w:rPr>
          <w:rFonts w:cs="Arial"/>
        </w:rPr>
        <w:t>.</w:t>
      </w:r>
      <w:r w:rsidR="004F2E2B">
        <w:rPr>
          <w:rFonts w:cs="Arial"/>
        </w:rPr>
        <w:t xml:space="preserve"> </w:t>
      </w:r>
    </w:p>
    <w:p w14:paraId="73794C37" w14:textId="77777777" w:rsidR="004F2E2B" w:rsidRDefault="004F2E2B" w:rsidP="004F2E2B">
      <w:pPr>
        <w:pStyle w:val="Heading1"/>
        <w:shd w:val="clear" w:color="auto" w:fill="FFFFFF"/>
        <w:spacing w:before="0"/>
        <w:rPr>
          <w:rFonts w:ascii="Segoe UI" w:hAnsi="Segoe UI" w:cs="Segoe UI"/>
          <w:color w:val="313131"/>
          <w:sz w:val="48"/>
        </w:rPr>
      </w:pPr>
      <w:bookmarkStart w:id="45" w:name="_Toc131144633"/>
      <w:r>
        <w:rPr>
          <w:rFonts w:ascii="Segoe UI" w:hAnsi="Segoe UI" w:cs="Segoe UI"/>
          <w:color w:val="313131"/>
        </w:rPr>
        <w:t>Australia’s commitment to human rights</w:t>
      </w:r>
      <w:bookmarkEnd w:id="45"/>
    </w:p>
    <w:p w14:paraId="0F6DDE3B" w14:textId="77777777" w:rsidR="004F2E2B" w:rsidRDefault="004F2E2B" w:rsidP="004F2E2B">
      <w:pPr>
        <w:pStyle w:val="NormalWeb"/>
        <w:shd w:val="clear" w:color="auto" w:fill="FFFFFF"/>
        <w:spacing w:before="0" w:beforeAutospacing="0" w:after="0" w:afterAutospacing="0"/>
        <w:rPr>
          <w:rFonts w:ascii="Segoe UI" w:hAnsi="Segoe UI" w:cs="Segoe UI"/>
          <w:color w:val="313131"/>
        </w:rPr>
      </w:pPr>
      <w:r>
        <w:rPr>
          <w:rFonts w:ascii="Segoe UI" w:hAnsi="Segoe UI" w:cs="Segoe UI"/>
          <w:color w:val="313131"/>
        </w:rPr>
        <w:t>Human rights underpin peace and prosperity. Australia's commitment to human rights reflects our national values and is an underlying principle of Australia's engagement with the international community.</w:t>
      </w:r>
    </w:p>
    <w:p w14:paraId="04F347D7"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 is strongly committed to advancing human rights globally through our bilateral relationships, development assistance and engagement with civil society, as well as our engagement in regional and multilateral fora, including the United Nations (UN) Human Rights Council (HRC) and the Third Committee of the UN General Assembly.</w:t>
      </w:r>
    </w:p>
    <w:p w14:paraId="0417C4BF" w14:textId="77777777" w:rsidR="004F2E2B" w:rsidRDefault="004F2E2B" w:rsidP="004F2E2B">
      <w:pPr>
        <w:pStyle w:val="Heading2"/>
        <w:shd w:val="clear" w:color="auto" w:fill="FFFFFF"/>
        <w:rPr>
          <w:rFonts w:ascii="Segoe UI" w:hAnsi="Segoe UI" w:cs="Segoe UI"/>
          <w:color w:val="313131"/>
        </w:rPr>
      </w:pPr>
      <w:bookmarkStart w:id="46" w:name="_Toc131144634"/>
      <w:r>
        <w:rPr>
          <w:rFonts w:ascii="Segoe UI" w:hAnsi="Segoe UI" w:cs="Segoe UI"/>
          <w:color w:val="313131"/>
        </w:rPr>
        <w:t>Australia promotes and protects human rights at home and abroad</w:t>
      </w:r>
      <w:bookmarkEnd w:id="46"/>
    </w:p>
    <w:p w14:paraId="1EE38B5C"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Australia's commitment to human rights is enduring: we were an original signatory to the Universal Declaration of Human Rights in 1948. We have been a leading proponent of its consistent and comprehensive implementation.</w:t>
      </w:r>
    </w:p>
    <w:p w14:paraId="1A661633"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lastRenderedPageBreak/>
        <w:t>Protection and promotion of the human rights encapsulated in the Declaration is vital to global efforts to achieve lasting peace and security, and freedom and dignity for all.</w:t>
      </w:r>
    </w:p>
    <w:p w14:paraId="596E6AD5"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 promotes human rights through constructive bilateral dialogue. Where appropriate, we work with countries to advance and protect human rights through development assistance and humanitarian support. At times, and especially in the case of gross human rights violations, we will apply sanctions.</w:t>
      </w:r>
    </w:p>
    <w:p w14:paraId="7C055214" w14:textId="77777777" w:rsidR="004F2E2B" w:rsidRDefault="004F2E2B" w:rsidP="004F2E2B">
      <w:pPr>
        <w:pStyle w:val="Heading2"/>
        <w:shd w:val="clear" w:color="auto" w:fill="FFFFFF"/>
        <w:rPr>
          <w:rFonts w:ascii="Segoe UI" w:hAnsi="Segoe UI" w:cs="Segoe UI"/>
          <w:color w:val="313131"/>
        </w:rPr>
      </w:pPr>
      <w:bookmarkStart w:id="47" w:name="_Toc131144635"/>
      <w:r>
        <w:rPr>
          <w:rFonts w:ascii="Segoe UI" w:hAnsi="Segoe UI" w:cs="Segoe UI"/>
          <w:color w:val="313131"/>
        </w:rPr>
        <w:t>Australia’s Multilateral Human Rights Engagement</w:t>
      </w:r>
      <w:bookmarkEnd w:id="47"/>
    </w:p>
    <w:p w14:paraId="732ACE43"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Australia is committed to a strong multilateral human rights system. We continue to support the independent mandate of the Office of the High Commissioner for Human Rights. We promote efforts to strengthen the Human Rights Council and the wider human rights system.</w:t>
      </w:r>
    </w:p>
    <w:p w14:paraId="4C37CA10"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Though Australia’s three-year membership of the HRC ended on 31 December 2020, we continue to actively engage as an observer at HRC, and the UN General Assembly Third Committee.</w:t>
      </w:r>
    </w:p>
    <w:p w14:paraId="134FAD0B"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We focus our attention on working through our multilateral and bilateral relationships to progress:</w:t>
      </w:r>
    </w:p>
    <w:p w14:paraId="72AE41AE"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Protecting the universality of human rights as expressed in international law, and a strong multilateral human rights system that allows for accountability, transparency and cooperation.</w:t>
      </w:r>
    </w:p>
    <w:p w14:paraId="221AA361"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Fundamental freedoms: promoting the rights to freedom of opinion and expression, freedom of assembly and association, and freedom of religion or belief.</w:t>
      </w:r>
    </w:p>
    <w:p w14:paraId="72FA7AC1"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Social inclusion: working to ensure equal human rights for women and girls, LGBTI persons, indigenous persons, people with disabilities and others who may be in vulnerable situations.</w:t>
      </w:r>
    </w:p>
    <w:p w14:paraId="0E443900" w14:textId="77777777" w:rsidR="004F2E2B" w:rsidRDefault="004F2E2B">
      <w:pPr>
        <w:numPr>
          <w:ilvl w:val="0"/>
          <w:numId w:val="27"/>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Global abolition of the death penalty: implementing </w:t>
      </w:r>
      <w:hyperlink r:id="rId21" w:history="1">
        <w:r>
          <w:rPr>
            <w:rStyle w:val="Hyperlink"/>
            <w:rFonts w:ascii="Segoe UI" w:hAnsi="Segoe UI" w:cs="Segoe UI"/>
            <w:color w:val="104486"/>
          </w:rPr>
          <w:t>Australia’s Strategy for Abolition of the Death Penalty</w:t>
        </w:r>
      </w:hyperlink>
      <w:r>
        <w:rPr>
          <w:rFonts w:ascii="Segoe UI" w:hAnsi="Segoe UI" w:cs="Segoe UI"/>
          <w:color w:val="313131"/>
        </w:rPr>
        <w:t>, in line with our opposition to the death penalty in all circumstances for all people.</w:t>
      </w:r>
    </w:p>
    <w:p w14:paraId="6A4B6447" w14:textId="77777777" w:rsidR="004F2E2B" w:rsidRDefault="004F2E2B" w:rsidP="004F2E2B">
      <w:pPr>
        <w:pStyle w:val="Heading2"/>
        <w:shd w:val="clear" w:color="auto" w:fill="FFFFFF"/>
        <w:rPr>
          <w:rFonts w:ascii="Segoe UI" w:hAnsi="Segoe UI" w:cs="Segoe UI"/>
          <w:color w:val="313131"/>
        </w:rPr>
      </w:pPr>
      <w:bookmarkStart w:id="48" w:name="_Toc131144636"/>
      <w:r>
        <w:rPr>
          <w:rFonts w:ascii="Segoe UI" w:hAnsi="Segoe UI" w:cs="Segoe UI"/>
          <w:color w:val="313131"/>
        </w:rPr>
        <w:t>COVID-19 and Human Rights</w:t>
      </w:r>
      <w:bookmarkEnd w:id="48"/>
    </w:p>
    <w:p w14:paraId="6952E93B"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The lasting global impact of the COVID-19 pandemic will make adherence to human rights critical to future peace and stability. Australia continues to make statements reaffirming the importance of human rights in COVID-19 response and recovery.</w:t>
      </w:r>
    </w:p>
    <w:p w14:paraId="2CCA7CCA" w14:textId="589CAEF5"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In pursuing global recovery, Australia reaffirms its commitment to the 2030 Agenda as the primary global framework for sustainable development and that places human rights at the centre of achieving sustainable and inclusive development.</w:t>
      </w:r>
    </w:p>
    <w:p w14:paraId="0DF0DE00" w14:textId="77777777" w:rsidR="00712FF9" w:rsidRDefault="00712FF9" w:rsidP="004F2E2B">
      <w:pPr>
        <w:pStyle w:val="NormalWeb"/>
        <w:shd w:val="clear" w:color="auto" w:fill="FFFFFF"/>
        <w:rPr>
          <w:rFonts w:ascii="Segoe UI" w:hAnsi="Segoe UI" w:cs="Segoe UI"/>
          <w:color w:val="313131"/>
        </w:rPr>
      </w:pPr>
    </w:p>
    <w:p w14:paraId="6F220AA0" w14:textId="77777777" w:rsidR="004F2E2B" w:rsidRDefault="004F2E2B" w:rsidP="004F2E2B">
      <w:pPr>
        <w:pStyle w:val="Heading2"/>
        <w:shd w:val="clear" w:color="auto" w:fill="FFFFFF"/>
        <w:rPr>
          <w:rFonts w:ascii="Segoe UI" w:hAnsi="Segoe UI" w:cs="Segoe UI"/>
          <w:color w:val="313131"/>
        </w:rPr>
      </w:pPr>
      <w:bookmarkStart w:id="49" w:name="_Toc131144637"/>
      <w:r>
        <w:rPr>
          <w:rFonts w:ascii="Segoe UI" w:hAnsi="Segoe UI" w:cs="Segoe UI"/>
          <w:color w:val="313131"/>
        </w:rPr>
        <w:lastRenderedPageBreak/>
        <w:t>Australia on the Human Rights Council 2018-2020</w:t>
      </w:r>
      <w:bookmarkEnd w:id="49"/>
    </w:p>
    <w:p w14:paraId="07FE93A4" w14:textId="77777777" w:rsidR="004F2E2B" w:rsidRDefault="004F2E2B" w:rsidP="004F2E2B">
      <w:pPr>
        <w:pStyle w:val="NormalWeb"/>
        <w:shd w:val="clear" w:color="auto" w:fill="FFFFFF"/>
        <w:rPr>
          <w:rFonts w:ascii="Segoe UI" w:hAnsi="Segoe UI" w:cs="Segoe UI"/>
          <w:color w:val="313131"/>
        </w:rPr>
      </w:pPr>
      <w:r>
        <w:rPr>
          <w:rFonts w:ascii="Segoe UI" w:hAnsi="Segoe UI" w:cs="Segoe UI"/>
          <w:color w:val="313131"/>
        </w:rPr>
        <w:t>During Australia’s term as a member of the </w:t>
      </w:r>
      <w:hyperlink r:id="rId22" w:history="1">
        <w:r>
          <w:rPr>
            <w:rStyle w:val="Hyperlink"/>
            <w:rFonts w:ascii="Segoe UI" w:eastAsiaTheme="majorEastAsia" w:hAnsi="Segoe UI" w:cs="Segoe UI"/>
            <w:color w:val="104486"/>
          </w:rPr>
          <w:t>UN HRC for the 2018–2020 term</w:t>
        </w:r>
      </w:hyperlink>
      <w:r>
        <w:rPr>
          <w:rFonts w:ascii="Segoe UI" w:hAnsi="Segoe UI" w:cs="Segoe UI"/>
          <w:color w:val="313131"/>
        </w:rPr>
        <w:t>, Australia built its engagement around ten pillars and priorities:</w:t>
      </w:r>
    </w:p>
    <w:p w14:paraId="4C72A344"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gender equality</w:t>
      </w:r>
    </w:p>
    <w:p w14:paraId="64EE3361"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good governance</w:t>
      </w:r>
    </w:p>
    <w:p w14:paraId="2135FB9D"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freedom of expression</w:t>
      </w:r>
    </w:p>
    <w:p w14:paraId="2F0274AD"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rights of indigenous peoples</w:t>
      </w:r>
    </w:p>
    <w:p w14:paraId="0C42E4FF"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strong national human rights institutions and capacity building</w:t>
      </w:r>
    </w:p>
    <w:p w14:paraId="7D57BD6F"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rights of lesbian, gay, bisexual, transgender and intersex persons</w:t>
      </w:r>
    </w:p>
    <w:p w14:paraId="2A0B515F"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freedom of religion or belief</w:t>
      </w:r>
    </w:p>
    <w:p w14:paraId="0F3D81B5"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abolition of the death penalty</w:t>
      </w:r>
    </w:p>
    <w:p w14:paraId="45A5A836" w14:textId="77777777" w:rsidR="004F2E2B" w:rsidRDefault="004F2E2B">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 rights of peoples with disability</w:t>
      </w:r>
    </w:p>
    <w:p w14:paraId="13390F01" w14:textId="0FEA354B" w:rsidR="004F2E2B" w:rsidRDefault="004F2E2B" w:rsidP="00B97BE8">
      <w:pPr>
        <w:numPr>
          <w:ilvl w:val="0"/>
          <w:numId w:val="28"/>
        </w:numPr>
        <w:shd w:val="clear" w:color="auto" w:fill="FFFFFF"/>
        <w:spacing w:before="100" w:beforeAutospacing="1" w:after="100" w:afterAutospacing="1" w:line="240" w:lineRule="auto"/>
        <w:rPr>
          <w:rFonts w:ascii="Segoe UI" w:hAnsi="Segoe UI" w:cs="Segoe UI"/>
          <w:color w:val="313131"/>
        </w:rPr>
      </w:pPr>
      <w:r>
        <w:rPr>
          <w:rFonts w:ascii="Segoe UI" w:hAnsi="Segoe UI" w:cs="Segoe UI"/>
          <w:color w:val="313131"/>
        </w:rPr>
        <w:t>role of civil society</w:t>
      </w:r>
    </w:p>
    <w:p w14:paraId="270B3E16" w14:textId="77777777" w:rsidR="003C40FD" w:rsidRPr="003C40FD" w:rsidRDefault="003C40FD" w:rsidP="003C40FD">
      <w:pPr>
        <w:shd w:val="clear" w:color="auto" w:fill="FFFFFF"/>
        <w:spacing w:before="100" w:beforeAutospacing="1" w:after="100" w:afterAutospacing="1" w:line="240" w:lineRule="auto"/>
        <w:rPr>
          <w:rFonts w:ascii="Segoe UI" w:hAnsi="Segoe UI" w:cs="Segoe UI"/>
          <w:color w:val="313131"/>
        </w:rPr>
      </w:pPr>
    </w:p>
    <w:p w14:paraId="548A94D8" w14:textId="3BC1ABD7" w:rsidR="00B6379B" w:rsidRPr="00B6379B" w:rsidRDefault="00B6379B" w:rsidP="003C40FD">
      <w:pPr>
        <w:pStyle w:val="Heading1"/>
        <w:jc w:val="center"/>
      </w:pPr>
      <w:bookmarkStart w:id="50" w:name="_Toc131144638"/>
      <w:r>
        <w:t>Australian Attorney General Department</w:t>
      </w:r>
      <w:bookmarkEnd w:id="50"/>
    </w:p>
    <w:p w14:paraId="54EC1109" w14:textId="77777777" w:rsidR="004F2E2B" w:rsidRPr="004F2E2B" w:rsidRDefault="004F2E2B" w:rsidP="004F2E2B">
      <w:pPr>
        <w:pStyle w:val="Heading1"/>
        <w:shd w:val="clear" w:color="auto" w:fill="FFFFFF"/>
        <w:spacing w:before="0"/>
        <w:rPr>
          <w:rFonts w:ascii="Open Sans" w:hAnsi="Open Sans" w:cs="Open Sans"/>
          <w:color w:val="auto"/>
          <w:sz w:val="48"/>
        </w:rPr>
      </w:pPr>
      <w:bookmarkStart w:id="51" w:name="_Toc131144639"/>
      <w:r w:rsidRPr="004F2E2B">
        <w:rPr>
          <w:rFonts w:ascii="Open Sans" w:hAnsi="Open Sans" w:cs="Open Sans"/>
          <w:color w:val="auto"/>
        </w:rPr>
        <w:t>Right to freedom of opinion and expression</w:t>
      </w:r>
      <w:bookmarkEnd w:id="51"/>
    </w:p>
    <w:p w14:paraId="7F565E75" w14:textId="77777777" w:rsidR="004F2E2B" w:rsidRPr="004F2E2B" w:rsidRDefault="004F2E2B" w:rsidP="004F2E2B">
      <w:pPr>
        <w:pStyle w:val="NormalWeb"/>
        <w:shd w:val="clear" w:color="auto" w:fill="FFFFFF"/>
        <w:spacing w:before="0" w:beforeAutospacing="0" w:after="0" w:afterAutospacing="0"/>
        <w:rPr>
          <w:rFonts w:ascii="Open Sans" w:hAnsi="Open Sans" w:cs="Open Sans"/>
        </w:rPr>
      </w:pPr>
      <w:r w:rsidRPr="004F2E2B">
        <w:rPr>
          <w:rFonts w:ascii="Open Sans" w:hAnsi="Open Sans" w:cs="Open Sans"/>
        </w:rPr>
        <w:t>Public sector guidance sheet</w:t>
      </w:r>
    </w:p>
    <w:p w14:paraId="254023AF" w14:textId="634535B3" w:rsidR="004F2E2B" w:rsidRDefault="00000000" w:rsidP="00B97BE8">
      <w:pPr>
        <w:rPr>
          <w:rFonts w:cs="Arial"/>
        </w:rPr>
      </w:pPr>
      <w:hyperlink r:id="rId23" w:history="1">
        <w:r w:rsidR="00B6379B" w:rsidRPr="008C3571">
          <w:rPr>
            <w:rStyle w:val="Hyperlink"/>
            <w:rFonts w:cs="Arial"/>
          </w:rPr>
          <w:t>https://www.ag.gov.au/rights-and-protections/human-rights-and-anti-discrimination/human-rights-scrutiny/public-sector-guidance-sheets/right-freedom-opinion-and-expression</w:t>
        </w:r>
      </w:hyperlink>
      <w:r w:rsidR="00B6379B">
        <w:rPr>
          <w:rFonts w:cs="Arial"/>
        </w:rPr>
        <w:t xml:space="preserve"> </w:t>
      </w:r>
    </w:p>
    <w:p w14:paraId="65617E57" w14:textId="77777777" w:rsidR="004F2E2B" w:rsidRPr="005C29FB" w:rsidRDefault="004F2E2B" w:rsidP="00B97BE8">
      <w:pPr>
        <w:rPr>
          <w:rFonts w:cs="Arial"/>
        </w:rPr>
      </w:pPr>
    </w:p>
    <w:p w14:paraId="267A23EA" w14:textId="77777777" w:rsidR="00B6379B" w:rsidRDefault="004F2E2B">
      <w:pPr>
        <w:numPr>
          <w:ilvl w:val="0"/>
          <w:numId w:val="29"/>
        </w:numPr>
        <w:shd w:val="clear" w:color="auto" w:fill="FFFFFF"/>
        <w:spacing w:after="0" w:line="240" w:lineRule="auto"/>
        <w:rPr>
          <w:rFonts w:ascii="Open Sans" w:hAnsi="Open Sans" w:cs="Open Sans"/>
          <w:color w:val="222222"/>
        </w:rPr>
      </w:pPr>
      <w:r>
        <w:t xml:space="preserve"> </w:t>
      </w:r>
      <w:hyperlink r:id="rId24" w:anchor="what-is-the-right-to-freedom-of-opinion-and-expression" w:history="1">
        <w:r w:rsidR="00B6379B">
          <w:rPr>
            <w:rStyle w:val="Hyperlink"/>
            <w:rFonts w:ascii="Open Sans" w:hAnsi="Open Sans" w:cs="Open Sans"/>
            <w:color w:val="0076AE"/>
          </w:rPr>
          <w:t>What is the right to freedom of opinion and expression?</w:t>
        </w:r>
      </w:hyperlink>
    </w:p>
    <w:p w14:paraId="36C09496"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5" w:anchor="where-does-the-right-to-freedom-of-opinion-and-expression-come-from" w:history="1">
        <w:r w:rsidR="00B6379B">
          <w:rPr>
            <w:rStyle w:val="Hyperlink"/>
            <w:rFonts w:ascii="Open Sans" w:hAnsi="Open Sans" w:cs="Open Sans"/>
            <w:color w:val="0076AE"/>
          </w:rPr>
          <w:t>Where does the right to freedom of opinion and expression come from?</w:t>
        </w:r>
      </w:hyperlink>
    </w:p>
    <w:p w14:paraId="15110A66"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6" w:anchor="when-do-i-need-to-consider-the-right-to-freedom-of-opinion-and-expression" w:history="1">
        <w:r w:rsidR="00B6379B">
          <w:rPr>
            <w:rStyle w:val="Hyperlink"/>
            <w:rFonts w:ascii="Open Sans" w:hAnsi="Open Sans" w:cs="Open Sans"/>
            <w:color w:val="0076AE"/>
          </w:rPr>
          <w:t>When do I need to consider the right to freedom of opinion and expression?</w:t>
        </w:r>
      </w:hyperlink>
    </w:p>
    <w:p w14:paraId="49C89E9B"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7" w:anchor="what-is-the-scope-of-the-right-to-freedom-of-opinion-and-expression" w:history="1">
        <w:r w:rsidR="00B6379B">
          <w:rPr>
            <w:rStyle w:val="Hyperlink"/>
            <w:rFonts w:ascii="Open Sans" w:hAnsi="Open Sans" w:cs="Open Sans"/>
            <w:color w:val="0076AE"/>
          </w:rPr>
          <w:t>What is the scope of the right to freedom of opinion and expression?</w:t>
        </w:r>
      </w:hyperlink>
    </w:p>
    <w:p w14:paraId="307978F3"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8" w:anchor="what-is-the-scope-of-the-requirement-to-prohibit-advocacy-of-hatred-that-constitutes-incitement-to-discrimination" w:history="1">
        <w:r w:rsidR="00B6379B">
          <w:rPr>
            <w:rStyle w:val="Hyperlink"/>
            <w:rFonts w:ascii="Open Sans" w:hAnsi="Open Sans" w:cs="Open Sans"/>
            <w:color w:val="0076AE"/>
          </w:rPr>
          <w:t>What is the scope of the requirement to prohibit advocacy of hatred that constitutes incitement to discrimination?</w:t>
        </w:r>
      </w:hyperlink>
    </w:p>
    <w:p w14:paraId="3F21D78C"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29" w:anchor="can-the-right-to-freedom-of-opinion-and-expression-be-limited" w:history="1">
        <w:r w:rsidR="00B6379B">
          <w:rPr>
            <w:rStyle w:val="Hyperlink"/>
            <w:rFonts w:ascii="Open Sans" w:hAnsi="Open Sans" w:cs="Open Sans"/>
            <w:color w:val="0076AE"/>
          </w:rPr>
          <w:t>Can the right to freedom of opinion and expression be limited?</w:t>
        </w:r>
      </w:hyperlink>
    </w:p>
    <w:p w14:paraId="1056E476"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30" w:anchor="which-domestic-laws-relate-to-freedom-of-opinion-and-expression" w:history="1">
        <w:r w:rsidR="00B6379B">
          <w:rPr>
            <w:rStyle w:val="Hyperlink"/>
            <w:rFonts w:ascii="Open Sans" w:hAnsi="Open Sans" w:cs="Open Sans"/>
            <w:color w:val="0076AE"/>
          </w:rPr>
          <w:t>Which domestic laws relate to freedom of opinion and expression?</w:t>
        </w:r>
      </w:hyperlink>
    </w:p>
    <w:p w14:paraId="70874B18"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31" w:anchor="what-other-rights-and-freedoms-relate-to-the-right-to-freedom-of-opinion-and-expression" w:history="1">
        <w:r w:rsidR="00B6379B">
          <w:rPr>
            <w:rStyle w:val="Hyperlink"/>
            <w:rFonts w:ascii="Open Sans" w:hAnsi="Open Sans" w:cs="Open Sans"/>
            <w:color w:val="0076AE"/>
          </w:rPr>
          <w:t>What other rights and freedoms relate to the right to freedom of opinion and expression?</w:t>
        </w:r>
      </w:hyperlink>
    </w:p>
    <w:p w14:paraId="1158DBD2" w14:textId="77777777" w:rsidR="00B6379B" w:rsidRDefault="00000000">
      <w:pPr>
        <w:numPr>
          <w:ilvl w:val="0"/>
          <w:numId w:val="29"/>
        </w:numPr>
        <w:shd w:val="clear" w:color="auto" w:fill="FFFFFF"/>
        <w:spacing w:before="100" w:beforeAutospacing="1" w:after="100" w:afterAutospacing="1" w:line="240" w:lineRule="auto"/>
        <w:rPr>
          <w:rFonts w:ascii="Open Sans" w:hAnsi="Open Sans" w:cs="Open Sans"/>
          <w:color w:val="222222"/>
        </w:rPr>
      </w:pPr>
      <w:hyperlink r:id="rId32" w:anchor="articles-from-relevant-conventions" w:history="1">
        <w:r w:rsidR="00B6379B">
          <w:rPr>
            <w:rStyle w:val="Hyperlink"/>
            <w:rFonts w:ascii="Open Sans" w:hAnsi="Open Sans" w:cs="Open Sans"/>
            <w:color w:val="0076AE"/>
          </w:rPr>
          <w:t>Articles from relevant Conventions</w:t>
        </w:r>
      </w:hyperlink>
    </w:p>
    <w:p w14:paraId="18F5C3C2" w14:textId="77777777" w:rsidR="00B6379B" w:rsidRDefault="00000000">
      <w:pPr>
        <w:pStyle w:val="active"/>
        <w:numPr>
          <w:ilvl w:val="0"/>
          <w:numId w:val="29"/>
        </w:numPr>
        <w:shd w:val="clear" w:color="auto" w:fill="FFFFFF"/>
        <w:rPr>
          <w:rFonts w:ascii="Open Sans" w:hAnsi="Open Sans" w:cs="Open Sans"/>
          <w:color w:val="222222"/>
        </w:rPr>
      </w:pPr>
      <w:hyperlink r:id="rId33" w:anchor="where-can-i-read-more-about-the-right-to-freedom-of-opinion-and-expression" w:history="1">
        <w:r w:rsidR="00B6379B">
          <w:rPr>
            <w:rStyle w:val="Hyperlink"/>
            <w:rFonts w:ascii="Open Sans" w:eastAsiaTheme="majorEastAsia" w:hAnsi="Open Sans" w:cs="Open Sans"/>
            <w:color w:val="0076AE"/>
          </w:rPr>
          <w:t>Where can I read more about the right to freedom of opinion and expression?</w:t>
        </w:r>
      </w:hyperlink>
    </w:p>
    <w:p w14:paraId="2763B35C" w14:textId="77777777" w:rsidR="00B6379B" w:rsidRDefault="00B6379B" w:rsidP="00B6379B">
      <w:pPr>
        <w:pStyle w:val="au-page-alerts"/>
        <w:pBdr>
          <w:top w:val="single" w:sz="24" w:space="0" w:color="65CDFF"/>
          <w:left w:val="single" w:sz="24" w:space="0" w:color="65CDFF"/>
          <w:bottom w:val="single" w:sz="24" w:space="0" w:color="65CDFF"/>
          <w:right w:val="single" w:sz="24" w:space="0" w:color="65CDFF"/>
        </w:pBdr>
        <w:shd w:val="clear" w:color="auto" w:fill="FFFFFF"/>
        <w:spacing w:before="0" w:beforeAutospacing="0" w:after="0" w:afterAutospacing="0"/>
        <w:rPr>
          <w:rFonts w:ascii="Open Sans" w:hAnsi="Open Sans" w:cs="Open Sans"/>
          <w:color w:val="222222"/>
        </w:rPr>
      </w:pPr>
      <w:r>
        <w:rPr>
          <w:rStyle w:val="Strong"/>
          <w:rFonts w:ascii="Open Sans" w:eastAsiaTheme="majorEastAsia" w:hAnsi="Open Sans" w:cs="Open Sans"/>
          <w:color w:val="222222"/>
        </w:rPr>
        <w:t>Disclaimer</w:t>
      </w:r>
      <w:r>
        <w:rPr>
          <w:rFonts w:ascii="Open Sans" w:hAnsi="Open Sans" w:cs="Open Sans"/>
          <w:color w:val="222222"/>
        </w:rPr>
        <w:br/>
        <w:t xml:space="preserve">This material is provided to persons who have a role in Commonwealth legislation, policy and programs as general guidance only and is not to be relied upon as legal </w:t>
      </w:r>
      <w:r>
        <w:rPr>
          <w:rFonts w:ascii="Open Sans" w:hAnsi="Open Sans" w:cs="Open Sans"/>
          <w:color w:val="222222"/>
        </w:rPr>
        <w:lastRenderedPageBreak/>
        <w:t>advice. Commonwealth agencies subject to the </w:t>
      </w:r>
      <w:r>
        <w:rPr>
          <w:rStyle w:val="Emphasis"/>
          <w:rFonts w:ascii="Open Sans" w:hAnsi="Open Sans" w:cs="Open Sans"/>
          <w:color w:val="222222"/>
        </w:rPr>
        <w:t>Legal Services Directions 2005</w:t>
      </w:r>
      <w:r>
        <w:rPr>
          <w:rFonts w:ascii="Open Sans" w:hAnsi="Open Sans" w:cs="Open Sans"/>
          <w:color w:val="222222"/>
        </w:rPr>
        <w:t> requiring legal advice in relation to matters raised in this Guidance Sheet must seek that advice in accordance with the Directions.</w:t>
      </w:r>
    </w:p>
    <w:p w14:paraId="36E487A5" w14:textId="77777777" w:rsidR="00B6379B" w:rsidRDefault="00B6379B" w:rsidP="00B6379B">
      <w:pPr>
        <w:pStyle w:val="Heading2"/>
        <w:shd w:val="clear" w:color="auto" w:fill="FFFFFF"/>
        <w:rPr>
          <w:rFonts w:ascii="Open Sans" w:hAnsi="Open Sans" w:cs="Open Sans"/>
          <w:color w:val="222222"/>
        </w:rPr>
      </w:pPr>
      <w:bookmarkStart w:id="52" w:name="_Toc131144640"/>
      <w:r>
        <w:rPr>
          <w:rFonts w:ascii="Open Sans" w:hAnsi="Open Sans" w:cs="Open Sans"/>
          <w:color w:val="222222"/>
        </w:rPr>
        <w:t>What is the right to freedom of opinion and expression?</w:t>
      </w:r>
      <w:bookmarkEnd w:id="52"/>
    </w:p>
    <w:p w14:paraId="783499C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to freedom of opinion is the right to hold opinions without interference, and cannot be subject to any exception or restriction.</w:t>
      </w:r>
    </w:p>
    <w:p w14:paraId="14FB98FF"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to freedom of expression extends to any medium, including written and oral communications, the media, public protest, broadcasting, artistic works and commercial advertising. The right is not absolute. It carries with it special responsibilities, and may be restricted on several grounds. For example, restrictions could relate to filtering access to certain internet sites, the urging of violence or the classification of artistic material.</w:t>
      </w:r>
    </w:p>
    <w:p w14:paraId="1329294F" w14:textId="77777777" w:rsidR="00B6379B" w:rsidRDefault="00B6379B" w:rsidP="00B6379B">
      <w:pPr>
        <w:pStyle w:val="Heading2"/>
        <w:shd w:val="clear" w:color="auto" w:fill="FFFFFF"/>
        <w:rPr>
          <w:rFonts w:ascii="Open Sans" w:hAnsi="Open Sans" w:cs="Open Sans"/>
          <w:color w:val="222222"/>
        </w:rPr>
      </w:pPr>
      <w:bookmarkStart w:id="53" w:name="_Toc131144641"/>
      <w:r>
        <w:rPr>
          <w:rFonts w:ascii="Open Sans" w:hAnsi="Open Sans" w:cs="Open Sans"/>
          <w:color w:val="222222"/>
        </w:rPr>
        <w:t>Where does the right to freedom of opinion and expression come from?</w:t>
      </w:r>
      <w:bookmarkEnd w:id="53"/>
    </w:p>
    <w:p w14:paraId="2D2277CB"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Australia is a party to seven core international human rights treaties. The right to freedom of opinion and expression is contained in articles 19 and 20 of the </w:t>
      </w:r>
      <w:hyperlink r:id="rId34" w:history="1">
        <w:r>
          <w:rPr>
            <w:rStyle w:val="Hyperlink"/>
            <w:rFonts w:ascii="Open Sans" w:eastAsiaTheme="majorEastAsia" w:hAnsi="Open Sans" w:cs="Open Sans"/>
            <w:color w:val="0076AE"/>
          </w:rPr>
          <w:t>International Covenant on Civil and Political Rights (ICCPR)</w:t>
        </w:r>
      </w:hyperlink>
      <w:r>
        <w:rPr>
          <w:rFonts w:ascii="Open Sans" w:hAnsi="Open Sans" w:cs="Open Sans"/>
          <w:color w:val="222222"/>
        </w:rPr>
        <w:t>.</w:t>
      </w:r>
    </w:p>
    <w:p w14:paraId="1E5A7426"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See also articles 4 and 5 of the </w:t>
      </w:r>
      <w:hyperlink r:id="rId35" w:history="1">
        <w:r>
          <w:rPr>
            <w:rStyle w:val="Hyperlink"/>
            <w:rFonts w:ascii="Open Sans" w:eastAsiaTheme="majorEastAsia" w:hAnsi="Open Sans" w:cs="Open Sans"/>
            <w:color w:val="0076AE"/>
          </w:rPr>
          <w:t>Convention on the Elimination of All Forms of Racial Discrimination (CERD)</w:t>
        </w:r>
      </w:hyperlink>
      <w:r>
        <w:rPr>
          <w:rFonts w:ascii="Open Sans" w:hAnsi="Open Sans" w:cs="Open Sans"/>
          <w:color w:val="222222"/>
        </w:rPr>
        <w:t> , articles 12 and 13 of the </w:t>
      </w:r>
      <w:hyperlink r:id="rId36" w:history="1">
        <w:r>
          <w:rPr>
            <w:rStyle w:val="Hyperlink"/>
            <w:rFonts w:ascii="Open Sans" w:eastAsiaTheme="majorEastAsia" w:hAnsi="Open Sans" w:cs="Open Sans"/>
            <w:color w:val="0076AE"/>
          </w:rPr>
          <w:t>Convention on the Rights of the Child (CRC)</w:t>
        </w:r>
      </w:hyperlink>
      <w:r>
        <w:rPr>
          <w:rFonts w:ascii="Open Sans" w:hAnsi="Open Sans" w:cs="Open Sans"/>
          <w:color w:val="222222"/>
        </w:rPr>
        <w:t> and article 21 of the </w:t>
      </w:r>
      <w:hyperlink r:id="rId37" w:history="1">
        <w:r>
          <w:rPr>
            <w:rStyle w:val="Hyperlink"/>
            <w:rFonts w:ascii="Open Sans" w:eastAsiaTheme="majorEastAsia" w:hAnsi="Open Sans" w:cs="Open Sans"/>
            <w:color w:val="0076AE"/>
          </w:rPr>
          <w:t>Convention on the Rights of Persons with Disabilities (CRPD)</w:t>
        </w:r>
      </w:hyperlink>
      <w:r>
        <w:rPr>
          <w:rFonts w:ascii="Open Sans" w:hAnsi="Open Sans" w:cs="Open Sans"/>
          <w:color w:val="222222"/>
        </w:rPr>
        <w:t>.</w:t>
      </w:r>
    </w:p>
    <w:p w14:paraId="0F26A1A3" w14:textId="77777777" w:rsidR="00B6379B" w:rsidRDefault="00B6379B" w:rsidP="00B6379B">
      <w:pPr>
        <w:pStyle w:val="Heading2"/>
        <w:shd w:val="clear" w:color="auto" w:fill="FFFFFF"/>
        <w:rPr>
          <w:rFonts w:ascii="Open Sans" w:hAnsi="Open Sans" w:cs="Open Sans"/>
          <w:color w:val="222222"/>
        </w:rPr>
      </w:pPr>
      <w:bookmarkStart w:id="54" w:name="_Toc131144642"/>
      <w:r>
        <w:rPr>
          <w:rFonts w:ascii="Open Sans" w:hAnsi="Open Sans" w:cs="Open Sans"/>
          <w:color w:val="222222"/>
        </w:rPr>
        <w:t>When do I need to consider the right to freedom of opinion and expression?</w:t>
      </w:r>
      <w:bookmarkEnd w:id="54"/>
    </w:p>
    <w:p w14:paraId="581396CC"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You will need to consider the right to freedom of opinion and expression if you are working on legislation, a policy or a program that:</w:t>
      </w:r>
    </w:p>
    <w:p w14:paraId="028CECE0"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the content of any speech, publication, broadcast, display or promotion</w:t>
      </w:r>
    </w:p>
    <w:p w14:paraId="7367FBE7"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the format or manner of any form of expression (for example requires prior approval for public protest or places restrictions on the uses of places in which protest activity may take place)</w:t>
      </w:r>
    </w:p>
    <w:p w14:paraId="7737C567"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restricts or censors media coverage, including in relation to political matters</w:t>
      </w:r>
    </w:p>
    <w:p w14:paraId="319CF455"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requires material to be approved before it may be published</w:t>
      </w:r>
    </w:p>
    <w:p w14:paraId="6D563AB7"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attaches criminal or civil liability to the publication of opinions or information</w:t>
      </w:r>
    </w:p>
    <w:p w14:paraId="20177685"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or restricts access to information, including on the internet</w:t>
      </w:r>
    </w:p>
    <w:p w14:paraId="3F2A7F7E"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lastRenderedPageBreak/>
        <w:t>imposes censorship or provides for classification of entertainment content, or</w:t>
      </w:r>
    </w:p>
    <w:p w14:paraId="5C69E0EF" w14:textId="77777777" w:rsidR="00B6379B" w:rsidRDefault="00B6379B">
      <w:pPr>
        <w:numPr>
          <w:ilvl w:val="0"/>
          <w:numId w:val="3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commercial expression (such as advertising).</w:t>
      </w:r>
    </w:p>
    <w:p w14:paraId="64E71AB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This list should not be regarded as exhaustive.</w:t>
      </w:r>
    </w:p>
    <w:p w14:paraId="10F811C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When working on a measure that restricts freedom of expression, you should ask yourself whether the measure can be justified under the permitted grounds for restriction, whether it will be effective to achieve the desired ends, whether it impinges on freedom of expression to a greater degree than is necessary and whether there are less restrictive means of achieving the desired ends.</w:t>
      </w:r>
    </w:p>
    <w:p w14:paraId="17CDF2F5"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requirement to prohibit advocacy of hatred that constitutes incitement to discrimination contains mandatory limitations on freedom of expression. You will need to consider the requirement if you are working on legislation, a policy or a program that regulates offensive speech or the publication or broadcast of offensive material.</w:t>
      </w:r>
    </w:p>
    <w:p w14:paraId="52EE4C50" w14:textId="77777777" w:rsidR="00B6379B" w:rsidRDefault="00B6379B" w:rsidP="00B6379B">
      <w:pPr>
        <w:pStyle w:val="Heading2"/>
        <w:shd w:val="clear" w:color="auto" w:fill="FFFFFF"/>
        <w:rPr>
          <w:rFonts w:ascii="Open Sans" w:hAnsi="Open Sans" w:cs="Open Sans"/>
          <w:color w:val="222222"/>
        </w:rPr>
      </w:pPr>
      <w:bookmarkStart w:id="55" w:name="_Toc131144643"/>
      <w:r>
        <w:rPr>
          <w:rFonts w:ascii="Open Sans" w:hAnsi="Open Sans" w:cs="Open Sans"/>
          <w:color w:val="222222"/>
        </w:rPr>
        <w:t>What is the scope of the right to freedom of opinion and expression?</w:t>
      </w:r>
      <w:bookmarkEnd w:id="55"/>
    </w:p>
    <w:p w14:paraId="1AF27274"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in article 19(1) to hold opinions without interference cannot be subject to any exception or restriction. The right in article 19(2) protects freedom of expression in any medium, for example written and oral communications, the media, public protest, broadcasting, artistic works and commercial advertising. The right protects not only favourable information or ideas, but also unpopular ideas including those that may offend or shock (subject to limitations). Freedom of expression carries with it special responsibilities, and may be restricted on several grounds, discussed further below.</w:t>
      </w:r>
    </w:p>
    <w:p w14:paraId="621D9A5D"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CRPD provides that for people with disability, the right to accessible formats and technologies is required to enable them to exercise their right to freedom of opinion and expression.</w:t>
      </w:r>
    </w:p>
    <w:p w14:paraId="24B7D3E7" w14:textId="77777777" w:rsidR="00B6379B" w:rsidRDefault="00000000" w:rsidP="00B6379B">
      <w:pPr>
        <w:pStyle w:val="NormalWeb"/>
        <w:shd w:val="clear" w:color="auto" w:fill="FFFFFF"/>
        <w:rPr>
          <w:rFonts w:ascii="Open Sans" w:hAnsi="Open Sans" w:cs="Open Sans"/>
          <w:color w:val="222222"/>
        </w:rPr>
      </w:pPr>
      <w:hyperlink r:id="rId38" w:anchor="topofpage" w:history="1">
        <w:r w:rsidR="00B6379B">
          <w:rPr>
            <w:rStyle w:val="Hyperlink"/>
            <w:rFonts w:ascii="Open Sans" w:eastAsiaTheme="majorEastAsia" w:hAnsi="Open Sans" w:cs="Open Sans"/>
            <w:color w:val="0076AE"/>
          </w:rPr>
          <w:t>Top of page</w:t>
        </w:r>
      </w:hyperlink>
    </w:p>
    <w:p w14:paraId="3B4910E5" w14:textId="77777777" w:rsidR="00B6379B" w:rsidRDefault="00B6379B" w:rsidP="00B6379B">
      <w:pPr>
        <w:pStyle w:val="Heading2"/>
        <w:shd w:val="clear" w:color="auto" w:fill="FFFFFF"/>
        <w:rPr>
          <w:rFonts w:ascii="Open Sans" w:hAnsi="Open Sans" w:cs="Open Sans"/>
          <w:color w:val="222222"/>
        </w:rPr>
      </w:pPr>
      <w:bookmarkStart w:id="56" w:name="_Toc131144644"/>
      <w:r>
        <w:rPr>
          <w:rFonts w:ascii="Open Sans" w:hAnsi="Open Sans" w:cs="Open Sans"/>
          <w:color w:val="222222"/>
        </w:rPr>
        <w:t>What is the scope of the requirement to prohibit advocacy of hatred that constitutes incitement to discrimination?</w:t>
      </w:r>
      <w:bookmarkEnd w:id="56"/>
    </w:p>
    <w:p w14:paraId="7D1A021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 xml:space="preserve">Article 20 of the ICCPR contains mandatory limitations on freedom of expression, and requires countries, subject to reservation/declaration, to outlaw vilification of persons on national, racial or religious grounds. Australia has made a declaration in relation to article 20 to the effect that existing Commonwealth and state </w:t>
      </w:r>
      <w:r>
        <w:rPr>
          <w:rFonts w:ascii="Open Sans" w:hAnsi="Open Sans" w:cs="Open Sans"/>
          <w:color w:val="222222"/>
        </w:rPr>
        <w:lastRenderedPageBreak/>
        <w:t>legislation is regarded as adequate, and that the right is reserved not to introduce any further legislation on these matters.</w:t>
      </w:r>
    </w:p>
    <w:p w14:paraId="69CE676B"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4(a) of CERD requires countries to criminalise all dissemination of ideas based on racial superiority or hatred and incitement to racial discrimination, as well as all acts of violence or incitement to such acts against any racial or ethnic groups. On becoming a party to CERD in 1975, Australia made a reservation in relation to Article 4(a) that it was not then in a position to criminalise all the matters covered in the article. The reservation has not been withdrawn. During Australia's Universal Periodic Review in 2011, the Australian Government committed to establishing a systematic process for the regular review of Australia's reservations to international human rights treaties.</w:t>
      </w:r>
    </w:p>
    <w:p w14:paraId="2E626FE1"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4(b) of CERD requires the criminalisation of participation in organisations which promote and incite racial discrimination.</w:t>
      </w:r>
    </w:p>
    <w:p w14:paraId="116AD5D2" w14:textId="77777777" w:rsidR="00B6379B" w:rsidRDefault="00B6379B" w:rsidP="00B6379B">
      <w:pPr>
        <w:pStyle w:val="Heading2"/>
        <w:shd w:val="clear" w:color="auto" w:fill="FFFFFF"/>
        <w:rPr>
          <w:rFonts w:ascii="Open Sans" w:hAnsi="Open Sans" w:cs="Open Sans"/>
          <w:color w:val="222222"/>
        </w:rPr>
      </w:pPr>
      <w:bookmarkStart w:id="57" w:name="_Toc131144645"/>
      <w:r>
        <w:rPr>
          <w:rFonts w:ascii="Open Sans" w:hAnsi="Open Sans" w:cs="Open Sans"/>
          <w:color w:val="222222"/>
        </w:rPr>
        <w:t>Can the right to freedom of opinion and expression be limited?</w:t>
      </w:r>
      <w:bookmarkEnd w:id="57"/>
    </w:p>
    <w:p w14:paraId="4A998CEA" w14:textId="77777777" w:rsidR="00B6379B" w:rsidRDefault="00B6379B" w:rsidP="00B6379B">
      <w:pPr>
        <w:pStyle w:val="Heading3"/>
        <w:shd w:val="clear" w:color="auto" w:fill="FFFFFF"/>
        <w:rPr>
          <w:rFonts w:ascii="Open Sans" w:hAnsi="Open Sans" w:cs="Open Sans"/>
          <w:color w:val="222222"/>
        </w:rPr>
      </w:pPr>
      <w:bookmarkStart w:id="58" w:name="_Toc131144646"/>
      <w:r>
        <w:rPr>
          <w:rFonts w:ascii="Open Sans" w:hAnsi="Open Sans" w:cs="Open Sans"/>
          <w:color w:val="222222"/>
        </w:rPr>
        <w:t>Derogation</w:t>
      </w:r>
      <w:bookmarkEnd w:id="58"/>
    </w:p>
    <w:p w14:paraId="7FBFCC9D"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Under article 4 of the ICCPR, countries may take measures derogating from certain of their obligations under the Covenant, including the right to freedom of opinion and expression 'in time of public emergency which threatens the life of the nation and the existence of which is officially proclaimed'. Such measures may only be taken 'to the extent strictly required by the exigencies of the situation, provided that such measures are not inconsistent with their other obligations under international law and do not involve discrimination solely on the ground of race, colour, sex, language, religion or social origin'.</w:t>
      </w:r>
    </w:p>
    <w:p w14:paraId="7C199A8B" w14:textId="77777777" w:rsidR="00B6379B" w:rsidRDefault="00B6379B" w:rsidP="00B6379B">
      <w:pPr>
        <w:pStyle w:val="Heading3"/>
        <w:shd w:val="clear" w:color="auto" w:fill="FFFFFF"/>
        <w:rPr>
          <w:rFonts w:ascii="Open Sans" w:hAnsi="Open Sans" w:cs="Open Sans"/>
          <w:color w:val="222222"/>
        </w:rPr>
      </w:pPr>
      <w:bookmarkStart w:id="59" w:name="_Toc131144647"/>
      <w:r>
        <w:rPr>
          <w:rFonts w:ascii="Open Sans" w:hAnsi="Open Sans" w:cs="Open Sans"/>
          <w:color w:val="222222"/>
        </w:rPr>
        <w:t>Limitation</w:t>
      </w:r>
      <w:bookmarkEnd w:id="59"/>
    </w:p>
    <w:p w14:paraId="7D4ABBE8"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In addition, under article 19(3) freedom of expression may be limited as provided for by law and when necessary to protect the rights or reputations of others, national security, public order, or public health or morals. Limitations must be prescribed by legislation necessary to achieve the desired purpose and proportionate to the need on which the limitation is predicated.</w:t>
      </w:r>
    </w:p>
    <w:p w14:paraId="3717A566" w14:textId="77777777" w:rsidR="00B6379B" w:rsidRDefault="00B6379B" w:rsidP="00B6379B">
      <w:pPr>
        <w:pStyle w:val="Heading3"/>
        <w:shd w:val="clear" w:color="auto" w:fill="FFFFFF"/>
        <w:rPr>
          <w:rFonts w:ascii="Open Sans" w:hAnsi="Open Sans" w:cs="Open Sans"/>
          <w:color w:val="222222"/>
        </w:rPr>
      </w:pPr>
      <w:bookmarkStart w:id="60" w:name="_Toc131144648"/>
      <w:r>
        <w:rPr>
          <w:rFonts w:ascii="Open Sans" w:hAnsi="Open Sans" w:cs="Open Sans"/>
          <w:color w:val="222222"/>
        </w:rPr>
        <w:t>Rights of reputation of others</w:t>
      </w:r>
      <w:bookmarkEnd w:id="60"/>
    </w:p>
    <w:p w14:paraId="2131061C"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In a case which involved a complaint about a law prohibiting denial of the holocaust, the UN Human Rights Committee stated that the restriction of the complainant's freedom of expression was permissible as it was necessary for respect of the rights and reputations of others.</w:t>
      </w:r>
    </w:p>
    <w:p w14:paraId="70C421A8" w14:textId="77777777" w:rsidR="00B6379B" w:rsidRDefault="00B6379B" w:rsidP="00B6379B">
      <w:pPr>
        <w:pStyle w:val="Heading3"/>
        <w:shd w:val="clear" w:color="auto" w:fill="FFFFFF"/>
        <w:rPr>
          <w:rFonts w:ascii="Open Sans" w:hAnsi="Open Sans" w:cs="Open Sans"/>
          <w:color w:val="222222"/>
        </w:rPr>
      </w:pPr>
      <w:bookmarkStart w:id="61" w:name="_Toc131144649"/>
      <w:r>
        <w:rPr>
          <w:rFonts w:ascii="Open Sans" w:hAnsi="Open Sans" w:cs="Open Sans"/>
          <w:color w:val="222222"/>
        </w:rPr>
        <w:lastRenderedPageBreak/>
        <w:t>National security</w:t>
      </w:r>
      <w:bookmarkEnd w:id="61"/>
    </w:p>
    <w:p w14:paraId="2F4C20CB"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national security limitation would justify prohibitions on transmission of information, including 'official secrets', which would adversely affect the security of the nation, provided the prohibition is reasonable, is effective to protect national security, and restricts freedom of expression no more than is necessary to protect national security.</w:t>
      </w:r>
    </w:p>
    <w:p w14:paraId="1692E1D7" w14:textId="77777777" w:rsidR="00B6379B" w:rsidRDefault="00B6379B" w:rsidP="00B6379B">
      <w:pPr>
        <w:pStyle w:val="Heading3"/>
        <w:shd w:val="clear" w:color="auto" w:fill="FFFFFF"/>
        <w:rPr>
          <w:rFonts w:ascii="Open Sans" w:hAnsi="Open Sans" w:cs="Open Sans"/>
          <w:color w:val="222222"/>
        </w:rPr>
      </w:pPr>
      <w:bookmarkStart w:id="62" w:name="_Toc131144650"/>
      <w:r>
        <w:rPr>
          <w:rFonts w:ascii="Open Sans" w:hAnsi="Open Sans" w:cs="Open Sans"/>
          <w:color w:val="222222"/>
        </w:rPr>
        <w:t>Public order</w:t>
      </w:r>
      <w:bookmarkEnd w:id="62"/>
    </w:p>
    <w:p w14:paraId="1BEEC3A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'Public order' is understood to mean the rules which ensure the peaceful and effective functioning of society. The limitation in article 19(3) would justify prohibitions on speech that may incite crime, violence or mass panic, provided the prohibition is reasonable, is effective to protect public order, and restricts freedom of expression no more than is necessary to protect public order.</w:t>
      </w:r>
    </w:p>
    <w:p w14:paraId="31D3DF1E" w14:textId="77777777" w:rsidR="00B6379B" w:rsidRDefault="00B6379B" w:rsidP="00B6379B">
      <w:pPr>
        <w:pStyle w:val="Heading3"/>
        <w:shd w:val="clear" w:color="auto" w:fill="FFFFFF"/>
        <w:rPr>
          <w:rFonts w:ascii="Open Sans" w:hAnsi="Open Sans" w:cs="Open Sans"/>
          <w:color w:val="222222"/>
        </w:rPr>
      </w:pPr>
      <w:bookmarkStart w:id="63" w:name="_Toc131144651"/>
      <w:r>
        <w:rPr>
          <w:rFonts w:ascii="Open Sans" w:hAnsi="Open Sans" w:cs="Open Sans"/>
          <w:color w:val="222222"/>
        </w:rPr>
        <w:t>Public health</w:t>
      </w:r>
      <w:bookmarkEnd w:id="63"/>
    </w:p>
    <w:p w14:paraId="28233D65"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public health limitation has not been tested before the Human Rights Committee.</w:t>
      </w:r>
    </w:p>
    <w:p w14:paraId="6AF707B5" w14:textId="77777777" w:rsidR="00B6379B" w:rsidRDefault="00B6379B" w:rsidP="00B6379B">
      <w:pPr>
        <w:pStyle w:val="Heading3"/>
        <w:shd w:val="clear" w:color="auto" w:fill="FFFFFF"/>
        <w:rPr>
          <w:rFonts w:ascii="Open Sans" w:hAnsi="Open Sans" w:cs="Open Sans"/>
          <w:color w:val="222222"/>
        </w:rPr>
      </w:pPr>
      <w:bookmarkStart w:id="64" w:name="_Toc131144652"/>
      <w:r>
        <w:rPr>
          <w:rFonts w:ascii="Open Sans" w:hAnsi="Open Sans" w:cs="Open Sans"/>
          <w:color w:val="222222"/>
        </w:rPr>
        <w:t>Public morals</w:t>
      </w:r>
      <w:bookmarkEnd w:id="64"/>
    </w:p>
    <w:p w14:paraId="21EF978D"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Human Rights Committee has stated that there is no universally applicable standard for what constitutes public morality. A restriction on certain pornographic material, for example pornographic material depicting minors, would be an example of a limitation on freedom of expression based on public morality. In Australia, the National Classification Scheme is designed to provide consumers with information about publications, films and computer games, to allow them to make informed decisions about appropriate entertainment material for themselves and their children. The Scheme is based on the following principles:</w:t>
      </w:r>
    </w:p>
    <w:p w14:paraId="7F95CC2B"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adults should be able to read, hear and see what they want</w:t>
      </w:r>
    </w:p>
    <w:p w14:paraId="30C6868E"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minors should be protected from material likely to harm or disturb them</w:t>
      </w:r>
    </w:p>
    <w:p w14:paraId="4B24D605"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should be protected from exposure to unsolicited material that they find offensive</w:t>
      </w:r>
    </w:p>
    <w:p w14:paraId="5F334EE3" w14:textId="77777777" w:rsidR="00B6379B" w:rsidRDefault="00B6379B">
      <w:pPr>
        <w:numPr>
          <w:ilvl w:val="0"/>
          <w:numId w:val="3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need to take account of community concerns about depictions that condone or incite violence, particularly sexual violence, and the portrayal of persons in a demeaning manner.</w:t>
      </w:r>
    </w:p>
    <w:p w14:paraId="4E6648D5" w14:textId="77777777" w:rsidR="00B6379B" w:rsidRDefault="00B6379B" w:rsidP="00B6379B">
      <w:pPr>
        <w:pStyle w:val="Heading2"/>
        <w:shd w:val="clear" w:color="auto" w:fill="FFFFFF"/>
        <w:rPr>
          <w:rFonts w:ascii="Open Sans" w:hAnsi="Open Sans" w:cs="Open Sans"/>
          <w:color w:val="222222"/>
        </w:rPr>
      </w:pPr>
      <w:bookmarkStart w:id="65" w:name="_Toc131144653"/>
      <w:r>
        <w:rPr>
          <w:rFonts w:ascii="Open Sans" w:hAnsi="Open Sans" w:cs="Open Sans"/>
          <w:color w:val="222222"/>
        </w:rPr>
        <w:t>Which domestic laws relate to freedom of opinion and expression?</w:t>
      </w:r>
      <w:bookmarkEnd w:id="65"/>
    </w:p>
    <w:p w14:paraId="45050293"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lastRenderedPageBreak/>
        <w:t>There is no Commonwealth legislation enshrining a general right to freedom of expression.</w:t>
      </w:r>
    </w:p>
    <w:p w14:paraId="6C408A28"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High Court has inferred a freedom of political communication primarily from sections 7 and 24 of the </w:t>
      </w:r>
      <w:r>
        <w:rPr>
          <w:rStyle w:val="Emphasis"/>
          <w:rFonts w:ascii="Open Sans" w:hAnsi="Open Sans" w:cs="Open Sans"/>
          <w:color w:val="222222"/>
        </w:rPr>
        <w:t>Constitution</w:t>
      </w:r>
      <w:r>
        <w:rPr>
          <w:rFonts w:ascii="Open Sans" w:hAnsi="Open Sans" w:cs="Open Sans"/>
          <w:color w:val="222222"/>
        </w:rPr>
        <w:t>. These provisions require that members of the Parliament be 'directly chosen by the people'. The High Court found that for this to be an informed choice, there must be free access to relevant political information. However, the Court has recognised that the implied freedom can be limited, or burdened, but only by laws that are reasonably appropriate and adapted to serving a legitimate end in a manner which is compatible with Australia's system of representative and responsible government. The freedom has been inferred by the court in declaring invalid Commonwealth laws that prohibited the broadcasting of political material in the lead-up to elections and obliged broadcasters to provide free advertising time to political parties during an election period. The right has also been held to allow the distribution in a public place of pamphlets alleging corruption by named police officers.</w:t>
      </w:r>
    </w:p>
    <w:p w14:paraId="030108B0"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Restrictions</w:t>
      </w:r>
    </w:p>
    <w:p w14:paraId="59B6E7A2"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Some restrictions on freedom of expression exist. For example, the </w:t>
      </w:r>
      <w:r>
        <w:rPr>
          <w:rStyle w:val="Emphasis"/>
          <w:rFonts w:ascii="Open Sans" w:hAnsi="Open Sans" w:cs="Open Sans"/>
          <w:color w:val="222222"/>
        </w:rPr>
        <w:t>Criminal Code Act 1995</w:t>
      </w:r>
      <w:r>
        <w:rPr>
          <w:rFonts w:ascii="Open Sans" w:hAnsi="Open Sans" w:cs="Open Sans"/>
          <w:color w:val="222222"/>
        </w:rPr>
        <w:t> contains offences relating to urging by force or violence the overthrow of the Constitution or the lawful authority of the Government. The Criminal Code also contains offences relating to the use of a telecommunications carriage service in a way which is intentionally menacing, harassing or offensive, and using a carriage service to communicate content which is menacing, harassing or offensive.</w:t>
      </w:r>
    </w:p>
    <w:p w14:paraId="58E10553"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Existing laws on the prohibition of advocacy of hatred that constitutes incitement to discrimination</w:t>
      </w:r>
    </w:p>
    <w:p w14:paraId="4B9618F8"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w:t>
      </w:r>
      <w:r>
        <w:rPr>
          <w:rStyle w:val="Emphasis"/>
          <w:rFonts w:ascii="Open Sans" w:hAnsi="Open Sans" w:cs="Open Sans"/>
          <w:color w:val="222222"/>
        </w:rPr>
        <w:t>Racial Discrimination Act 1975</w:t>
      </w:r>
      <w:r>
        <w:rPr>
          <w:rFonts w:ascii="Open Sans" w:hAnsi="Open Sans" w:cs="Open Sans"/>
          <w:color w:val="222222"/>
        </w:rPr>
        <w:t> makes it unlawful to do an act reasonably likely to offend, insult, humiliate or intimidate another person or group if the act is done because of the race, colour or national or ethnic origin of the person or group.</w:t>
      </w:r>
    </w:p>
    <w:p w14:paraId="5848B770" w14:textId="77777777" w:rsidR="00B6379B" w:rsidRDefault="00B6379B" w:rsidP="00B6379B">
      <w:pPr>
        <w:pStyle w:val="Heading2"/>
        <w:shd w:val="clear" w:color="auto" w:fill="FFFFFF"/>
        <w:rPr>
          <w:rFonts w:ascii="Open Sans" w:hAnsi="Open Sans" w:cs="Open Sans"/>
          <w:color w:val="222222"/>
        </w:rPr>
      </w:pPr>
      <w:bookmarkStart w:id="66" w:name="_Toc131144654"/>
      <w:r>
        <w:rPr>
          <w:rFonts w:ascii="Open Sans" w:hAnsi="Open Sans" w:cs="Open Sans"/>
          <w:color w:val="222222"/>
        </w:rPr>
        <w:t>What other rights and freedoms relate to the right to freedom of opinion and expression?</w:t>
      </w:r>
      <w:bookmarkEnd w:id="66"/>
    </w:p>
    <w:p w14:paraId="78B21941"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The right to freedom of opinion and expression may also be relevant to:</w:t>
      </w:r>
    </w:p>
    <w:p w14:paraId="637FBD16"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freedom of thought, conscience and religion in article 18 of the ICCPR</w:t>
      </w:r>
    </w:p>
    <w:p w14:paraId="3685D32E"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peaceful assembly in article 21 of the ICCPR</w:t>
      </w:r>
    </w:p>
    <w:p w14:paraId="47034B8D"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freedom of association in article 22 of the ICCPR</w:t>
      </w:r>
    </w:p>
    <w:p w14:paraId="647630C5" w14:textId="77777777" w:rsidR="00B6379B" w:rsidRDefault="00B6379B">
      <w:pPr>
        <w:numPr>
          <w:ilvl w:val="0"/>
          <w:numId w:val="32"/>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requirement to provide information to persons with disability in accessible formats and technologies in article 21 of the CRPD.</w:t>
      </w:r>
    </w:p>
    <w:p w14:paraId="2539D986" w14:textId="77777777" w:rsidR="00B6379B" w:rsidRDefault="00B6379B" w:rsidP="00B6379B">
      <w:pPr>
        <w:pStyle w:val="Heading2"/>
        <w:shd w:val="clear" w:color="auto" w:fill="FFFFFF"/>
        <w:rPr>
          <w:rFonts w:ascii="Open Sans" w:hAnsi="Open Sans" w:cs="Open Sans"/>
          <w:color w:val="222222"/>
        </w:rPr>
      </w:pPr>
      <w:bookmarkStart w:id="67" w:name="_Toc131144655"/>
      <w:r>
        <w:rPr>
          <w:rFonts w:ascii="Open Sans" w:hAnsi="Open Sans" w:cs="Open Sans"/>
          <w:color w:val="222222"/>
        </w:rPr>
        <w:lastRenderedPageBreak/>
        <w:t>Articles from relevant Conventions</w:t>
      </w:r>
      <w:bookmarkEnd w:id="67"/>
    </w:p>
    <w:p w14:paraId="375AA8FF" w14:textId="77777777" w:rsidR="00B6379B" w:rsidRDefault="00B6379B" w:rsidP="00B6379B">
      <w:pPr>
        <w:pStyle w:val="NormalWeb"/>
        <w:shd w:val="clear" w:color="auto" w:fill="FFFFFF"/>
        <w:rPr>
          <w:rFonts w:ascii="Open Sans" w:hAnsi="Open Sans" w:cs="Open Sans"/>
          <w:color w:val="222222"/>
        </w:rPr>
      </w:pPr>
      <w:r>
        <w:rPr>
          <w:rStyle w:val="Strong"/>
          <w:rFonts w:ascii="Open Sans" w:eastAsiaTheme="majorEastAsia" w:hAnsi="Open Sans" w:cs="Open Sans"/>
          <w:color w:val="222222"/>
        </w:rPr>
        <w:t>International Covenant on Civil and Political Rights</w:t>
      </w:r>
    </w:p>
    <w:p w14:paraId="2C1204C5"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19</w:t>
      </w:r>
    </w:p>
    <w:p w14:paraId="4A4DD401" w14:textId="77777777" w:rsidR="00B6379B" w:rsidRDefault="00B6379B">
      <w:pPr>
        <w:numPr>
          <w:ilvl w:val="0"/>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shall have the right to hold opinions without interference.</w:t>
      </w:r>
    </w:p>
    <w:p w14:paraId="26CB0D6C" w14:textId="77777777" w:rsidR="00B6379B" w:rsidRDefault="00B6379B">
      <w:pPr>
        <w:numPr>
          <w:ilvl w:val="0"/>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shall have the right to freedom of expression; this right shall include freedom to seek, receive and impart information and ideas of all kinds, regardless of frontiers, either orally, in writing or in print, in the form of art, or through any other media of his choice.</w:t>
      </w:r>
    </w:p>
    <w:p w14:paraId="56CEA0A8" w14:textId="77777777" w:rsidR="00B6379B" w:rsidRDefault="00B6379B">
      <w:pPr>
        <w:numPr>
          <w:ilvl w:val="0"/>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exercise of the rights provided for in paragraph 2 of this article carries with it special duties and responsibilities. It may therefore be subject to certain restrictions, but these shall only be such as are provided by law and are necessary:</w:t>
      </w:r>
    </w:p>
    <w:p w14:paraId="4FF61E41" w14:textId="77777777" w:rsidR="00B6379B" w:rsidRDefault="00B6379B">
      <w:pPr>
        <w:numPr>
          <w:ilvl w:val="1"/>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For respect of the rights or reputations of others;</w:t>
      </w:r>
    </w:p>
    <w:p w14:paraId="2FF3798F" w14:textId="77777777" w:rsidR="00B6379B" w:rsidRDefault="00B6379B">
      <w:pPr>
        <w:numPr>
          <w:ilvl w:val="1"/>
          <w:numId w:val="33"/>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For the protection of national security or of public order (</w:t>
      </w:r>
      <w:proofErr w:type="spellStart"/>
      <w:r>
        <w:rPr>
          <w:rFonts w:ascii="Open Sans" w:hAnsi="Open Sans" w:cs="Open Sans"/>
          <w:color w:val="222222"/>
        </w:rPr>
        <w:t>ordre</w:t>
      </w:r>
      <w:proofErr w:type="spellEnd"/>
      <w:r>
        <w:rPr>
          <w:rFonts w:ascii="Open Sans" w:hAnsi="Open Sans" w:cs="Open Sans"/>
          <w:color w:val="222222"/>
        </w:rPr>
        <w:t xml:space="preserve"> public), or of public health or morals.</w:t>
      </w:r>
    </w:p>
    <w:p w14:paraId="2A8B238A"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Article 20</w:t>
      </w:r>
    </w:p>
    <w:p w14:paraId="36DF2EA3" w14:textId="77777777" w:rsidR="00B6379B" w:rsidRDefault="00B6379B">
      <w:pPr>
        <w:numPr>
          <w:ilvl w:val="0"/>
          <w:numId w:val="34"/>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Any propaganda for war shall be prohibited by law.</w:t>
      </w:r>
    </w:p>
    <w:p w14:paraId="2B0D0453" w14:textId="77777777" w:rsidR="00B6379B" w:rsidRDefault="00B6379B">
      <w:pPr>
        <w:numPr>
          <w:ilvl w:val="0"/>
          <w:numId w:val="34"/>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Any advocacy of national, racial or religious hatred that constitutes incitement to discrimination, hostility or violence shall be prohibited by law.</w:t>
      </w:r>
    </w:p>
    <w:p w14:paraId="2D6BA737" w14:textId="77777777" w:rsidR="00B6379B" w:rsidRDefault="00B6379B" w:rsidP="00B6379B">
      <w:pPr>
        <w:pStyle w:val="NormalWeb"/>
        <w:shd w:val="clear" w:color="auto" w:fill="FFFFFF"/>
        <w:rPr>
          <w:rFonts w:ascii="Open Sans" w:hAnsi="Open Sans" w:cs="Open Sans"/>
          <w:color w:val="222222"/>
        </w:rPr>
      </w:pPr>
      <w:r>
        <w:rPr>
          <w:rFonts w:ascii="Open Sans" w:hAnsi="Open Sans" w:cs="Open Sans"/>
          <w:color w:val="222222"/>
        </w:rPr>
        <w:t>See also: CERD articles 4 and 5; CRC articles 12 and 13; CRPD article 21.</w:t>
      </w:r>
    </w:p>
    <w:p w14:paraId="15FAB243" w14:textId="77777777" w:rsidR="00B6379B" w:rsidRDefault="00B6379B" w:rsidP="00B6379B">
      <w:pPr>
        <w:pStyle w:val="Heading2"/>
        <w:shd w:val="clear" w:color="auto" w:fill="FFFFFF"/>
        <w:rPr>
          <w:rFonts w:ascii="Open Sans" w:hAnsi="Open Sans" w:cs="Open Sans"/>
          <w:color w:val="222222"/>
        </w:rPr>
      </w:pPr>
      <w:bookmarkStart w:id="68" w:name="_Toc131144656"/>
      <w:r>
        <w:rPr>
          <w:rFonts w:ascii="Open Sans" w:hAnsi="Open Sans" w:cs="Open Sans"/>
          <w:color w:val="222222"/>
        </w:rPr>
        <w:t>Where can I read more about the right to freedom of opinion and expression?</w:t>
      </w:r>
      <w:bookmarkEnd w:id="68"/>
    </w:p>
    <w:p w14:paraId="4D95808B"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39" w:history="1">
        <w:r w:rsidR="00B6379B">
          <w:rPr>
            <w:rStyle w:val="Hyperlink"/>
            <w:rFonts w:ascii="Open Sans" w:hAnsi="Open Sans" w:cs="Open Sans"/>
            <w:color w:val="0076AE"/>
          </w:rPr>
          <w:t>United Nations, Office of the High Commissioner for Human Rights (OHCHR), Human Rights Bodies</w:t>
        </w:r>
      </w:hyperlink>
      <w:r w:rsidR="00B6379B">
        <w:rPr>
          <w:rFonts w:ascii="Open Sans" w:hAnsi="Open Sans" w:cs="Open Sans"/>
          <w:color w:val="222222"/>
        </w:rPr>
        <w:t> (human rights treaty bodies that monitor implementation of the core international human rights treaties)</w:t>
      </w:r>
    </w:p>
    <w:p w14:paraId="7B7123EB"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0" w:history="1">
        <w:r w:rsidR="00B6379B">
          <w:rPr>
            <w:rStyle w:val="Hyperlink"/>
            <w:rFonts w:ascii="Open Sans" w:hAnsi="Open Sans" w:cs="Open Sans"/>
            <w:color w:val="0076AE"/>
          </w:rPr>
          <w:t>UN Human Rights Committee General Comment No 34</w:t>
        </w:r>
      </w:hyperlink>
    </w:p>
    <w:p w14:paraId="3E7BDCE4"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1" w:history="1">
        <w:r w:rsidR="00B6379B">
          <w:rPr>
            <w:rStyle w:val="Hyperlink"/>
            <w:rFonts w:ascii="Open Sans" w:hAnsi="Open Sans" w:cs="Open Sans"/>
            <w:color w:val="0076AE"/>
          </w:rPr>
          <w:t>UN Human Rights Committee General Comment No 11</w:t>
        </w:r>
      </w:hyperlink>
    </w:p>
    <w:p w14:paraId="30D5EDAC"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2" w:history="1">
        <w:r w:rsidR="00B6379B">
          <w:rPr>
            <w:rStyle w:val="Hyperlink"/>
            <w:rFonts w:ascii="Open Sans" w:hAnsi="Open Sans" w:cs="Open Sans"/>
            <w:color w:val="0076AE"/>
          </w:rPr>
          <w:t>UN Committee on the Elimination of Racial Discrimination General Recommendation No 15</w:t>
        </w:r>
      </w:hyperlink>
    </w:p>
    <w:p w14:paraId="1A0BA6F8"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3" w:history="1">
        <w:r w:rsidR="00B6379B">
          <w:rPr>
            <w:rStyle w:val="Emphasis"/>
            <w:rFonts w:ascii="Open Sans" w:hAnsi="Open Sans" w:cs="Open Sans"/>
            <w:color w:val="0076AE"/>
            <w:u w:val="single"/>
          </w:rPr>
          <w:t>Australian Capital Television Pty Limited v Commonwealth </w:t>
        </w:r>
        <w:r w:rsidR="00B6379B">
          <w:rPr>
            <w:rStyle w:val="Hyperlink"/>
            <w:rFonts w:ascii="Open Sans" w:hAnsi="Open Sans" w:cs="Open Sans"/>
            <w:color w:val="0076AE"/>
          </w:rPr>
          <w:t>(1992) 177 CLR 106</w:t>
        </w:r>
      </w:hyperlink>
      <w:r w:rsidR="00B6379B">
        <w:rPr>
          <w:rFonts w:ascii="Open Sans" w:hAnsi="Open Sans" w:cs="Open Sans"/>
          <w:color w:val="222222"/>
        </w:rPr>
        <w:t> (on the implied right to political communication)</w:t>
      </w:r>
    </w:p>
    <w:p w14:paraId="4C113682"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4" w:history="1">
        <w:r w:rsidR="00B6379B">
          <w:rPr>
            <w:rStyle w:val="Emphasis"/>
            <w:rFonts w:ascii="Open Sans" w:hAnsi="Open Sans" w:cs="Open Sans"/>
            <w:color w:val="0076AE"/>
            <w:u w:val="single"/>
          </w:rPr>
          <w:t>Coleman v Power</w:t>
        </w:r>
        <w:r w:rsidR="00B6379B">
          <w:rPr>
            <w:rStyle w:val="Hyperlink"/>
            <w:rFonts w:ascii="Open Sans" w:hAnsi="Open Sans" w:cs="Open Sans"/>
            <w:color w:val="0076AE"/>
          </w:rPr>
          <w:t> (2004) 220 CLR 1</w:t>
        </w:r>
      </w:hyperlink>
      <w:r w:rsidR="00B6379B">
        <w:rPr>
          <w:rFonts w:ascii="Open Sans" w:hAnsi="Open Sans" w:cs="Open Sans"/>
          <w:color w:val="222222"/>
        </w:rPr>
        <w:t> (on the implied right to political communication) (</w:t>
      </w:r>
      <w:proofErr w:type="spellStart"/>
      <w:r w:rsidR="00B6379B">
        <w:rPr>
          <w:rFonts w:ascii="Open Sans" w:hAnsi="Open Sans" w:cs="Open Sans"/>
          <w:color w:val="222222"/>
        </w:rPr>
        <w:t>AustLII</w:t>
      </w:r>
      <w:proofErr w:type="spellEnd"/>
      <w:r w:rsidR="00B6379B">
        <w:rPr>
          <w:rFonts w:ascii="Open Sans" w:hAnsi="Open Sans" w:cs="Open Sans"/>
          <w:color w:val="222222"/>
        </w:rPr>
        <w:t xml:space="preserve"> website)</w:t>
      </w:r>
    </w:p>
    <w:p w14:paraId="4B64FED4" w14:textId="77777777" w:rsid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5" w:history="1">
        <w:r w:rsidR="00B6379B">
          <w:rPr>
            <w:rStyle w:val="Hyperlink"/>
            <w:rFonts w:ascii="Open Sans" w:hAnsi="Open Sans" w:cs="Open Sans"/>
            <w:color w:val="0076AE"/>
          </w:rPr>
          <w:t>Australian Law Reform Commission report on sedition</w:t>
        </w:r>
      </w:hyperlink>
    </w:p>
    <w:p w14:paraId="3B4B8904" w14:textId="366F22DD" w:rsidR="00B97BE8" w:rsidRPr="00B6379B" w:rsidRDefault="00000000">
      <w:pPr>
        <w:numPr>
          <w:ilvl w:val="0"/>
          <w:numId w:val="35"/>
        </w:numPr>
        <w:shd w:val="clear" w:color="auto" w:fill="FFFFFF"/>
        <w:spacing w:before="100" w:beforeAutospacing="1" w:after="100" w:afterAutospacing="1" w:line="240" w:lineRule="auto"/>
        <w:rPr>
          <w:rFonts w:ascii="Open Sans" w:hAnsi="Open Sans" w:cs="Open Sans"/>
          <w:color w:val="222222"/>
        </w:rPr>
      </w:pPr>
      <w:hyperlink r:id="rId46" w:history="1">
        <w:r w:rsidR="00B6379B">
          <w:rPr>
            <w:rStyle w:val="Hyperlink"/>
            <w:rFonts w:ascii="Open Sans" w:hAnsi="Open Sans" w:cs="Open Sans"/>
            <w:color w:val="0076AE"/>
          </w:rPr>
          <w:t>Australian Government website on classification</w:t>
        </w:r>
      </w:hyperlink>
    </w:p>
    <w:p w14:paraId="5B0F4FE0" w14:textId="77777777" w:rsidR="00712FF9" w:rsidRPr="00712FF9" w:rsidRDefault="00712FF9" w:rsidP="00712FF9">
      <w:pPr>
        <w:pStyle w:val="Heading1"/>
        <w:shd w:val="clear" w:color="auto" w:fill="FFFFFF"/>
        <w:spacing w:before="0"/>
        <w:rPr>
          <w:rFonts w:ascii="Open Sans" w:hAnsi="Open Sans" w:cs="Open Sans"/>
          <w:color w:val="auto"/>
          <w:sz w:val="48"/>
        </w:rPr>
      </w:pPr>
      <w:bookmarkStart w:id="69" w:name="_Toc131144657"/>
      <w:r w:rsidRPr="00712FF9">
        <w:rPr>
          <w:rFonts w:ascii="Open Sans" w:hAnsi="Open Sans" w:cs="Open Sans"/>
          <w:color w:val="auto"/>
        </w:rPr>
        <w:lastRenderedPageBreak/>
        <w:t>Minimum guarantees in criminal proceedings</w:t>
      </w:r>
      <w:bookmarkEnd w:id="69"/>
    </w:p>
    <w:p w14:paraId="75782E3F" w14:textId="171E3B52" w:rsidR="00712FF9" w:rsidRDefault="00712FF9" w:rsidP="00712FF9">
      <w:pPr>
        <w:pStyle w:val="NormalWeb"/>
        <w:shd w:val="clear" w:color="auto" w:fill="FFFFFF"/>
        <w:spacing w:before="0" w:beforeAutospacing="0" w:after="0" w:afterAutospacing="0"/>
        <w:rPr>
          <w:rFonts w:ascii="Open Sans" w:hAnsi="Open Sans" w:cs="Open Sans"/>
        </w:rPr>
      </w:pPr>
      <w:r w:rsidRPr="00712FF9">
        <w:rPr>
          <w:rFonts w:ascii="Open Sans" w:hAnsi="Open Sans" w:cs="Open Sans"/>
        </w:rPr>
        <w:t>Public sector guidance sheet</w:t>
      </w:r>
    </w:p>
    <w:p w14:paraId="7DD66AB0" w14:textId="25C7E118" w:rsidR="00712FF9" w:rsidRDefault="00712FF9" w:rsidP="00712FF9">
      <w:pPr>
        <w:pStyle w:val="NormalWeb"/>
        <w:shd w:val="clear" w:color="auto" w:fill="FFFFFF"/>
        <w:spacing w:before="0" w:beforeAutospacing="0" w:after="0" w:afterAutospacing="0"/>
        <w:rPr>
          <w:rFonts w:ascii="Open Sans" w:hAnsi="Open Sans" w:cs="Open Sans"/>
        </w:rPr>
      </w:pPr>
    </w:p>
    <w:p w14:paraId="40AF70E3" w14:textId="77777777" w:rsidR="00712FF9" w:rsidRDefault="00000000">
      <w:pPr>
        <w:numPr>
          <w:ilvl w:val="0"/>
          <w:numId w:val="36"/>
        </w:numPr>
        <w:shd w:val="clear" w:color="auto" w:fill="FFFFFF"/>
        <w:spacing w:after="0" w:line="240" w:lineRule="auto"/>
        <w:rPr>
          <w:rFonts w:ascii="Open Sans" w:hAnsi="Open Sans" w:cs="Open Sans"/>
          <w:color w:val="222222"/>
        </w:rPr>
      </w:pPr>
      <w:hyperlink r:id="rId47" w:anchor="what-are-minimum-guarantees-in-criminal-proceedings" w:history="1">
        <w:r w:rsidR="00712FF9">
          <w:rPr>
            <w:rStyle w:val="Hyperlink"/>
            <w:rFonts w:ascii="Open Sans" w:hAnsi="Open Sans" w:cs="Open Sans"/>
            <w:color w:val="0076AE"/>
          </w:rPr>
          <w:t>What are minimum guarantees in criminal proceedings?</w:t>
        </w:r>
      </w:hyperlink>
    </w:p>
    <w:p w14:paraId="258A78F4"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48" w:anchor="where-do-minimum-guarantees-in-criminal-proceedings-come-from" w:history="1">
        <w:r w:rsidR="00712FF9">
          <w:rPr>
            <w:rStyle w:val="Hyperlink"/>
            <w:rFonts w:ascii="Open Sans" w:hAnsi="Open Sans" w:cs="Open Sans"/>
            <w:color w:val="0076AE"/>
          </w:rPr>
          <w:t>Where do minimum guarantees in criminal proceedings come from?</w:t>
        </w:r>
      </w:hyperlink>
    </w:p>
    <w:p w14:paraId="4C4EDCDD"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49" w:anchor="when-do-i-need-to-consider-the-minimum-guarantees-in-criminal-proceedings" w:history="1">
        <w:r w:rsidR="00712FF9">
          <w:rPr>
            <w:rStyle w:val="Hyperlink"/>
            <w:rFonts w:ascii="Open Sans" w:hAnsi="Open Sans" w:cs="Open Sans"/>
            <w:color w:val="0076AE"/>
          </w:rPr>
          <w:t>When do I need to consider the minimum guarantees in criminal proceedings?</w:t>
        </w:r>
      </w:hyperlink>
    </w:p>
    <w:p w14:paraId="087BFB48"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50" w:anchor="what-is-the-scope-of-minimum-guarantees-in-criminal-proceedings" w:history="1">
        <w:r w:rsidR="00712FF9">
          <w:rPr>
            <w:rStyle w:val="Hyperlink"/>
            <w:rFonts w:ascii="Open Sans" w:hAnsi="Open Sans" w:cs="Open Sans"/>
            <w:color w:val="0076AE"/>
          </w:rPr>
          <w:t>What is the scope of minimum guarantees in criminal proceedings?</w:t>
        </w:r>
      </w:hyperlink>
    </w:p>
    <w:p w14:paraId="1763A957"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51" w:anchor="can-minimum-guarantees-in-criminal-proceedings-be-limited" w:history="1">
        <w:r w:rsidR="00712FF9">
          <w:rPr>
            <w:rStyle w:val="Hyperlink"/>
            <w:rFonts w:ascii="Open Sans" w:hAnsi="Open Sans" w:cs="Open Sans"/>
            <w:color w:val="0076AE"/>
          </w:rPr>
          <w:t>Can minimum guarantees in criminal proceedings be limited?</w:t>
        </w:r>
      </w:hyperlink>
    </w:p>
    <w:p w14:paraId="65641A36"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52" w:anchor="which-domestic-laws-relate-to-minimum-guarantees-in-criminal-proceedings" w:history="1">
        <w:r w:rsidR="00712FF9">
          <w:rPr>
            <w:rStyle w:val="Hyperlink"/>
            <w:rFonts w:ascii="Open Sans" w:hAnsi="Open Sans" w:cs="Open Sans"/>
            <w:color w:val="0076AE"/>
          </w:rPr>
          <w:t>Which domestic laws relate to minimum guarantees in criminal proceedings?</w:t>
        </w:r>
      </w:hyperlink>
    </w:p>
    <w:p w14:paraId="4C4E7EE1"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53" w:anchor="what-other-rights-and-freedoms-relate-to-minimum-guarantees-in-criminal-proceedings" w:history="1">
        <w:r w:rsidR="00712FF9">
          <w:rPr>
            <w:rStyle w:val="Hyperlink"/>
            <w:rFonts w:ascii="Open Sans" w:hAnsi="Open Sans" w:cs="Open Sans"/>
            <w:color w:val="0076AE"/>
          </w:rPr>
          <w:t>What other rights and freedoms relate to minimum guarantees in criminal proceedings?</w:t>
        </w:r>
      </w:hyperlink>
    </w:p>
    <w:p w14:paraId="7A6661D7" w14:textId="77777777" w:rsidR="00712FF9" w:rsidRDefault="00000000">
      <w:pPr>
        <w:numPr>
          <w:ilvl w:val="0"/>
          <w:numId w:val="36"/>
        </w:numPr>
        <w:shd w:val="clear" w:color="auto" w:fill="FFFFFF"/>
        <w:spacing w:before="100" w:beforeAutospacing="1" w:after="100" w:afterAutospacing="1" w:line="240" w:lineRule="auto"/>
        <w:rPr>
          <w:rFonts w:ascii="Open Sans" w:hAnsi="Open Sans" w:cs="Open Sans"/>
          <w:color w:val="222222"/>
        </w:rPr>
      </w:pPr>
      <w:hyperlink r:id="rId54" w:anchor="articles-from-relevant-conventions" w:history="1">
        <w:r w:rsidR="00712FF9">
          <w:rPr>
            <w:rStyle w:val="Hyperlink"/>
            <w:rFonts w:ascii="Open Sans" w:hAnsi="Open Sans" w:cs="Open Sans"/>
            <w:color w:val="0076AE"/>
          </w:rPr>
          <w:t>Articles from relevant Conventions</w:t>
        </w:r>
      </w:hyperlink>
    </w:p>
    <w:p w14:paraId="44C468B8" w14:textId="77777777" w:rsidR="00712FF9" w:rsidRDefault="00000000">
      <w:pPr>
        <w:pStyle w:val="active"/>
        <w:numPr>
          <w:ilvl w:val="0"/>
          <w:numId w:val="36"/>
        </w:numPr>
        <w:shd w:val="clear" w:color="auto" w:fill="FFFFFF"/>
        <w:rPr>
          <w:rFonts w:ascii="Open Sans" w:hAnsi="Open Sans" w:cs="Open Sans"/>
          <w:color w:val="222222"/>
        </w:rPr>
      </w:pPr>
      <w:hyperlink r:id="rId55" w:anchor="where-can-i-read-more-about-minimum-guarantees-in-criminal-proceedings" w:history="1">
        <w:r w:rsidR="00712FF9">
          <w:rPr>
            <w:rStyle w:val="Hyperlink"/>
            <w:rFonts w:ascii="Open Sans" w:eastAsiaTheme="majorEastAsia" w:hAnsi="Open Sans" w:cs="Open Sans"/>
            <w:color w:val="0076AE"/>
          </w:rPr>
          <w:t>Where can I read more about minimum guarantees in criminal proceedings?</w:t>
        </w:r>
      </w:hyperlink>
    </w:p>
    <w:p w14:paraId="3DF23F2C" w14:textId="77777777" w:rsidR="00712FF9" w:rsidRDefault="00712FF9" w:rsidP="00712FF9">
      <w:pPr>
        <w:pStyle w:val="au-page-alerts"/>
        <w:pBdr>
          <w:top w:val="single" w:sz="24" w:space="0" w:color="65CDFF"/>
          <w:left w:val="single" w:sz="24" w:space="0" w:color="65CDFF"/>
          <w:bottom w:val="single" w:sz="24" w:space="0" w:color="65CDFF"/>
          <w:right w:val="single" w:sz="24" w:space="0" w:color="65CDFF"/>
        </w:pBdr>
        <w:shd w:val="clear" w:color="auto" w:fill="FFFFFF"/>
        <w:spacing w:before="0" w:beforeAutospacing="0" w:after="0" w:afterAutospacing="0"/>
        <w:rPr>
          <w:rFonts w:ascii="Open Sans" w:hAnsi="Open Sans" w:cs="Open Sans"/>
          <w:color w:val="222222"/>
        </w:rPr>
      </w:pPr>
      <w:r>
        <w:rPr>
          <w:rStyle w:val="Strong"/>
          <w:rFonts w:ascii="Open Sans" w:eastAsiaTheme="majorEastAsia" w:hAnsi="Open Sans" w:cs="Open Sans"/>
          <w:color w:val="222222"/>
        </w:rPr>
        <w:t>Disclaimer</w:t>
      </w:r>
      <w:r>
        <w:rPr>
          <w:rFonts w:ascii="Open Sans" w:hAnsi="Open Sans" w:cs="Open Sans"/>
          <w:color w:val="222222"/>
        </w:rPr>
        <w:br/>
        <w:t>This material is provided to persons who have a role in Commonwealth legislation, policy and programs as general guidance only and is not to be relied upon as legal advice. Commonwealth agencies subject to the </w:t>
      </w:r>
      <w:r>
        <w:rPr>
          <w:rStyle w:val="Emphasis"/>
          <w:rFonts w:ascii="Open Sans" w:hAnsi="Open Sans" w:cs="Open Sans"/>
          <w:color w:val="222222"/>
        </w:rPr>
        <w:t>Legal Services Directions 2005</w:t>
      </w:r>
      <w:r>
        <w:rPr>
          <w:rFonts w:ascii="Open Sans" w:hAnsi="Open Sans" w:cs="Open Sans"/>
          <w:color w:val="222222"/>
        </w:rPr>
        <w:t> requiring legal advice in relation to matters raised in this Guidance Sheet must seek that advice in accordance with the Directions.</w:t>
      </w:r>
    </w:p>
    <w:p w14:paraId="116E5D25" w14:textId="77777777" w:rsidR="00712FF9" w:rsidRDefault="00712FF9" w:rsidP="00712FF9">
      <w:pPr>
        <w:pStyle w:val="Heading2"/>
        <w:shd w:val="clear" w:color="auto" w:fill="FFFFFF"/>
        <w:rPr>
          <w:rFonts w:ascii="Open Sans" w:hAnsi="Open Sans" w:cs="Open Sans"/>
          <w:color w:val="222222"/>
        </w:rPr>
      </w:pPr>
      <w:bookmarkStart w:id="70" w:name="_Toc131144658"/>
      <w:r>
        <w:rPr>
          <w:rFonts w:ascii="Open Sans" w:hAnsi="Open Sans" w:cs="Open Sans"/>
          <w:color w:val="222222"/>
        </w:rPr>
        <w:t>What are minimum guarantees in criminal proceedings?</w:t>
      </w:r>
      <w:bookmarkEnd w:id="70"/>
    </w:p>
    <w:p w14:paraId="51F805F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Minimum guarantees in criminal proceedings include:</w:t>
      </w:r>
    </w:p>
    <w:p w14:paraId="3309D768"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informed promptly of the charge</w:t>
      </w:r>
    </w:p>
    <w:p w14:paraId="1B99823B"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adequate time and facilities to prepare a defence and to communicate with counsel</w:t>
      </w:r>
    </w:p>
    <w:p w14:paraId="6B25D5EA"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without undue delay</w:t>
      </w:r>
    </w:p>
    <w:p w14:paraId="258C72F6"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in person</w:t>
      </w:r>
    </w:p>
    <w:p w14:paraId="18231213"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legal assistance and to have legal assistance assigned to the accused, where the interests of justice so require, and without payment if the accused is unable to pay for it</w:t>
      </w:r>
    </w:p>
    <w:p w14:paraId="14791A0D"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cross-examine prosecution witnesses and to obtain the attendance and examination of witnesses on behalf of the accused on the same conditions as the prosecution</w:t>
      </w:r>
    </w:p>
    <w:p w14:paraId="04E93294"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the assistance of an interpreter</w:t>
      </w:r>
    </w:p>
    <w:p w14:paraId="014600AE"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free from self-incrimination</w:t>
      </w:r>
    </w:p>
    <w:p w14:paraId="7594CD6D"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a conviction and sentence reviewed by a higher court</w:t>
      </w:r>
    </w:p>
    <w:p w14:paraId="6899D3F8"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lastRenderedPageBreak/>
        <w:t>to be paid compensation where a criminal conviction has been overturned or where a person has been pardoned in situations involving a miscarriage of justice</w:t>
      </w:r>
    </w:p>
    <w:p w14:paraId="7065C2C2" w14:textId="77777777" w:rsidR="00712FF9" w:rsidRDefault="00712FF9">
      <w:pPr>
        <w:numPr>
          <w:ilvl w:val="0"/>
          <w:numId w:val="37"/>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not to be tried or punished more than once.</w:t>
      </w:r>
    </w:p>
    <w:p w14:paraId="0AED7B60" w14:textId="77777777" w:rsidR="00712FF9" w:rsidRDefault="00712FF9" w:rsidP="00712FF9">
      <w:pPr>
        <w:pStyle w:val="Heading2"/>
        <w:shd w:val="clear" w:color="auto" w:fill="FFFFFF"/>
        <w:rPr>
          <w:rFonts w:ascii="Open Sans" w:hAnsi="Open Sans" w:cs="Open Sans"/>
          <w:color w:val="222222"/>
        </w:rPr>
      </w:pPr>
      <w:bookmarkStart w:id="71" w:name="_Toc131144659"/>
      <w:r>
        <w:rPr>
          <w:rFonts w:ascii="Open Sans" w:hAnsi="Open Sans" w:cs="Open Sans"/>
          <w:color w:val="222222"/>
        </w:rPr>
        <w:t>Where do minimum guarantees in criminal proceedings come from?</w:t>
      </w:r>
      <w:bookmarkEnd w:id="71"/>
    </w:p>
    <w:p w14:paraId="53A2BEC2"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Australia is a party to seven core international human rights treaties. Minimum guarantees in criminal proceedings are contained in article 14(3), (5), (6) and (7) of the </w:t>
      </w:r>
      <w:hyperlink r:id="rId56" w:history="1">
        <w:r>
          <w:rPr>
            <w:rStyle w:val="Hyperlink"/>
            <w:rFonts w:ascii="Open Sans" w:eastAsiaTheme="majorEastAsia" w:hAnsi="Open Sans" w:cs="Open Sans"/>
            <w:color w:val="0076AE"/>
          </w:rPr>
          <w:t>International Covenant on Civil and Political Rights (ICCPR)</w:t>
        </w:r>
      </w:hyperlink>
      <w:r>
        <w:rPr>
          <w:rFonts w:ascii="Open Sans" w:hAnsi="Open Sans" w:cs="Open Sans"/>
          <w:color w:val="222222"/>
        </w:rPr>
        <w:t>.</w:t>
      </w:r>
    </w:p>
    <w:p w14:paraId="257CEAC0"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Article 14 also enshrines the right to a fair trial and fair hearing and the right to the presumption of innocence. For more information on these rights see the Guidance Sheets on </w:t>
      </w:r>
      <w:hyperlink r:id="rId57" w:history="1">
        <w:r>
          <w:rPr>
            <w:rStyle w:val="Hyperlink"/>
            <w:rFonts w:ascii="Open Sans" w:eastAsiaTheme="majorEastAsia" w:hAnsi="Open Sans" w:cs="Open Sans"/>
            <w:color w:val="0076AE"/>
          </w:rPr>
          <w:t>Fair trial and fair hearing rights</w:t>
        </w:r>
      </w:hyperlink>
      <w:r>
        <w:rPr>
          <w:rFonts w:ascii="Open Sans" w:hAnsi="Open Sans" w:cs="Open Sans"/>
          <w:color w:val="222222"/>
        </w:rPr>
        <w:t> and </w:t>
      </w:r>
      <w:hyperlink r:id="rId58" w:history="1">
        <w:r>
          <w:rPr>
            <w:rStyle w:val="Hyperlink"/>
            <w:rFonts w:ascii="Open Sans" w:eastAsiaTheme="majorEastAsia" w:hAnsi="Open Sans" w:cs="Open Sans"/>
            <w:color w:val="0076AE"/>
          </w:rPr>
          <w:t>Presumption of innocence</w:t>
        </w:r>
      </w:hyperlink>
      <w:r>
        <w:rPr>
          <w:rFonts w:ascii="Open Sans" w:hAnsi="Open Sans" w:cs="Open Sans"/>
          <w:color w:val="222222"/>
        </w:rPr>
        <w:t>.</w:t>
      </w:r>
    </w:p>
    <w:p w14:paraId="44468C29"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See also article 40 of the </w:t>
      </w:r>
      <w:hyperlink r:id="rId59" w:history="1">
        <w:r>
          <w:rPr>
            <w:rStyle w:val="Hyperlink"/>
            <w:rFonts w:ascii="Open Sans" w:eastAsiaTheme="majorEastAsia" w:hAnsi="Open Sans" w:cs="Open Sans"/>
            <w:color w:val="0076AE"/>
          </w:rPr>
          <w:t>Convention on the Rights of the Child (CRC)</w:t>
        </w:r>
      </w:hyperlink>
      <w:r>
        <w:rPr>
          <w:rFonts w:ascii="Open Sans" w:hAnsi="Open Sans" w:cs="Open Sans"/>
          <w:color w:val="222222"/>
        </w:rPr>
        <w:t>.</w:t>
      </w:r>
    </w:p>
    <w:p w14:paraId="617BD483" w14:textId="77777777" w:rsidR="00712FF9" w:rsidRDefault="00712FF9" w:rsidP="00712FF9">
      <w:pPr>
        <w:pStyle w:val="Heading2"/>
        <w:shd w:val="clear" w:color="auto" w:fill="FFFFFF"/>
        <w:rPr>
          <w:rFonts w:ascii="Open Sans" w:hAnsi="Open Sans" w:cs="Open Sans"/>
          <w:color w:val="222222"/>
        </w:rPr>
      </w:pPr>
      <w:bookmarkStart w:id="72" w:name="_Toc131144660"/>
      <w:r>
        <w:rPr>
          <w:rFonts w:ascii="Open Sans" w:hAnsi="Open Sans" w:cs="Open Sans"/>
          <w:color w:val="222222"/>
        </w:rPr>
        <w:t>When do I need to consider the minimum guarantees in criminal proceedings?</w:t>
      </w:r>
      <w:bookmarkEnd w:id="72"/>
    </w:p>
    <w:p w14:paraId="66949AB3"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You will need to consider minimum guarantees in criminal proceedings when you are working on legislation, a policy or a program that:</w:t>
      </w:r>
    </w:p>
    <w:p w14:paraId="6DFFC18E"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regulates aspects of criminal trial procedure, including the filing and serving of charges, and content of charge sheets, access of the accused to witnesses, information and evidence, pre-trial disclosure, timetables for preparing for trial and giving notice of hearings</w:t>
      </w:r>
    </w:p>
    <w:p w14:paraId="07B1607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capacity of investigators and prosecutors to prepare for trial and of courts to conduct trials, for instance, by allocating resources</w:t>
      </w:r>
    </w:p>
    <w:p w14:paraId="3ACDB2A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eligibility for legal assistance in criminal matters</w:t>
      </w:r>
    </w:p>
    <w:p w14:paraId="004AB3B1"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legal representation, including the right of the accused to select a legal representative of his or her choice</w:t>
      </w:r>
    </w:p>
    <w:p w14:paraId="4CDC41AD"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law of evidence governing the examination of witnesses</w:t>
      </w:r>
    </w:p>
    <w:p w14:paraId="38D0626A"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allows special procedures for the examination of witnesses, for instance the use of protective screens or the giving of evidence by video link</w:t>
      </w:r>
    </w:p>
    <w:p w14:paraId="2D5C593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governs the availability of interpreters and translators in criminal proceedings</w:t>
      </w:r>
    </w:p>
    <w:p w14:paraId="4AD6A117"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law relating to self-incrimination</w:t>
      </w:r>
    </w:p>
    <w:p w14:paraId="26EEC59A"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availability of appeals from convictions and sentences in criminal proceedings</w:t>
      </w:r>
    </w:p>
    <w:p w14:paraId="311F5B0B"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lastRenderedPageBreak/>
        <w:t>governs remedies available to persons whose criminal convictions have been overturned or who have been pardoned in situations involving a miscarriage of justice</w:t>
      </w:r>
    </w:p>
    <w:p w14:paraId="1AF49462"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affects the law relating to double jeopardy</w:t>
      </w:r>
    </w:p>
    <w:p w14:paraId="33ED2FD8"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allows the continued incarceration of persons, for example serious sex offenders , following completion of sentence, or</w:t>
      </w:r>
    </w:p>
    <w:p w14:paraId="2D514CCF" w14:textId="77777777" w:rsidR="00712FF9" w:rsidRDefault="00712FF9">
      <w:pPr>
        <w:numPr>
          <w:ilvl w:val="0"/>
          <w:numId w:val="38"/>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provides international legal assistance or cooperation, including development of legislation or strengthening criminal justice systems.</w:t>
      </w:r>
    </w:p>
    <w:p w14:paraId="22FC64C9"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list should not be regarded as exhaustive.</w:t>
      </w:r>
    </w:p>
    <w:p w14:paraId="47B346B7" w14:textId="77777777" w:rsidR="00712FF9" w:rsidRDefault="00712FF9" w:rsidP="00712FF9">
      <w:pPr>
        <w:pStyle w:val="Heading2"/>
        <w:shd w:val="clear" w:color="auto" w:fill="FFFFFF"/>
        <w:rPr>
          <w:rFonts w:ascii="Open Sans" w:hAnsi="Open Sans" w:cs="Open Sans"/>
          <w:color w:val="222222"/>
        </w:rPr>
      </w:pPr>
      <w:bookmarkStart w:id="73" w:name="_Toc131144661"/>
      <w:r>
        <w:rPr>
          <w:rFonts w:ascii="Open Sans" w:hAnsi="Open Sans" w:cs="Open Sans"/>
          <w:color w:val="222222"/>
        </w:rPr>
        <w:t>What is the scope of minimum guarantees in criminal proceedings?</w:t>
      </w:r>
      <w:bookmarkEnd w:id="73"/>
    </w:p>
    <w:p w14:paraId="43ACB033"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Articles 14(3), (5), (6) and (7) of the ICCPR establish a number of guarantees that must be observed in criminal proceedings. Each will be dealt with in turn.</w:t>
      </w:r>
    </w:p>
    <w:p w14:paraId="52F06693" w14:textId="77777777" w:rsidR="00712FF9" w:rsidRDefault="00712FF9" w:rsidP="00712FF9">
      <w:pPr>
        <w:pStyle w:val="Heading3"/>
        <w:shd w:val="clear" w:color="auto" w:fill="FFFFFF"/>
        <w:rPr>
          <w:rFonts w:ascii="Open Sans" w:hAnsi="Open Sans" w:cs="Open Sans"/>
          <w:color w:val="222222"/>
        </w:rPr>
      </w:pPr>
      <w:bookmarkStart w:id="74" w:name="_Toc131144662"/>
      <w:r>
        <w:rPr>
          <w:rFonts w:ascii="Open Sans" w:hAnsi="Open Sans" w:cs="Open Sans"/>
          <w:color w:val="222222"/>
        </w:rPr>
        <w:t>To be informed promptly of the charge</w:t>
      </w:r>
      <w:bookmarkEnd w:id="74"/>
    </w:p>
    <w:p w14:paraId="6B9BEB4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is designed to enable the accused to prepare a defence. It requires that the accused be given information regarding the law and the alleged facts on which the charge is based, at the time the charge is laid and when the charge is amended, if applicable. The information may be given orally or in writing. There is no requirement to disclose evidence at this point. Whether any delay in informing the accused will amount to a violation of this right would depend on the cause of the delay. A violation is less likely if the delay was caused or contributed to by the accused. The information must be communicated in a language the accused understands if the accused does not speak or understand English.</w:t>
      </w:r>
    </w:p>
    <w:p w14:paraId="579D960C" w14:textId="77777777" w:rsidR="00712FF9" w:rsidRDefault="00712FF9" w:rsidP="00712FF9">
      <w:pPr>
        <w:pStyle w:val="Heading3"/>
        <w:shd w:val="clear" w:color="auto" w:fill="FFFFFF"/>
        <w:rPr>
          <w:rFonts w:ascii="Open Sans" w:hAnsi="Open Sans" w:cs="Open Sans"/>
          <w:color w:val="222222"/>
        </w:rPr>
      </w:pPr>
      <w:bookmarkStart w:id="75" w:name="_Toc131144663"/>
      <w:r>
        <w:rPr>
          <w:rFonts w:ascii="Open Sans" w:hAnsi="Open Sans" w:cs="Open Sans"/>
          <w:color w:val="222222"/>
        </w:rPr>
        <w:t>To have adequate time and facilities to prepare a defence and to communicate with counsel</w:t>
      </w:r>
      <w:bookmarkEnd w:id="75"/>
    </w:p>
    <w:p w14:paraId="53923E6C"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purpose of this right is to enable the accused to prepare his or her defence properly and to put the accused on an equal footing with the prosecution. What will constitute adequate time will depend on the circumstances of each case, including the complexity of the case and the accused's access to witnesses and evidence. The reference to facilities means that the accused must be given access to documents and other evidence necessary for preparation of his or her defence. The accused should have the opportunity to be represented by a lawyer and to communicate with the lawyer in an unrestricted way in conditions that allow for confidentiality.</w:t>
      </w:r>
    </w:p>
    <w:p w14:paraId="2C719CF0" w14:textId="77777777" w:rsidR="00712FF9" w:rsidRDefault="00712FF9" w:rsidP="00712FF9">
      <w:pPr>
        <w:pStyle w:val="Heading3"/>
        <w:shd w:val="clear" w:color="auto" w:fill="FFFFFF"/>
        <w:rPr>
          <w:rFonts w:ascii="Open Sans" w:hAnsi="Open Sans" w:cs="Open Sans"/>
          <w:color w:val="222222"/>
        </w:rPr>
      </w:pPr>
      <w:bookmarkStart w:id="76" w:name="_Toc131144664"/>
      <w:r>
        <w:rPr>
          <w:rFonts w:ascii="Open Sans" w:hAnsi="Open Sans" w:cs="Open Sans"/>
          <w:color w:val="222222"/>
        </w:rPr>
        <w:lastRenderedPageBreak/>
        <w:t>To be tried without undue delay</w:t>
      </w:r>
      <w:bookmarkEnd w:id="76"/>
    </w:p>
    <w:p w14:paraId="1D9E65A7"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reflects the common law principle that 'justice delayed is justice denied'. It relates not only to the time by which a trial should commence, but also to the time by which it should conclude and judgment be given. Whether a delay is 'undue' will depend on the circumstances of each case. Critical factors would include whether the accused is in custody, the complexity and seriousness of the case and the availability of witnesses, including experts. A delay attributable to the accused is unlikely to violate this right.</w:t>
      </w:r>
    </w:p>
    <w:p w14:paraId="60AE6F90" w14:textId="77777777" w:rsidR="00712FF9" w:rsidRDefault="00712FF9" w:rsidP="00712FF9">
      <w:pPr>
        <w:pStyle w:val="Heading3"/>
        <w:shd w:val="clear" w:color="auto" w:fill="FFFFFF"/>
        <w:rPr>
          <w:rFonts w:ascii="Open Sans" w:hAnsi="Open Sans" w:cs="Open Sans"/>
          <w:color w:val="222222"/>
        </w:rPr>
      </w:pPr>
      <w:bookmarkStart w:id="77" w:name="_Toc131144665"/>
      <w:r>
        <w:rPr>
          <w:rFonts w:ascii="Open Sans" w:hAnsi="Open Sans" w:cs="Open Sans"/>
          <w:color w:val="222222"/>
        </w:rPr>
        <w:t>To be tried in person</w:t>
      </w:r>
      <w:bookmarkEnd w:id="77"/>
    </w:p>
    <w:p w14:paraId="1EFAD47C"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Trials </w:t>
      </w:r>
      <w:r>
        <w:rPr>
          <w:rStyle w:val="Emphasis"/>
          <w:rFonts w:ascii="Open Sans" w:hAnsi="Open Sans" w:cs="Open Sans"/>
          <w:color w:val="222222"/>
        </w:rPr>
        <w:t>in absentia </w:t>
      </w:r>
      <w:r>
        <w:rPr>
          <w:rFonts w:ascii="Open Sans" w:hAnsi="Open Sans" w:cs="Open Sans"/>
          <w:color w:val="222222"/>
        </w:rPr>
        <w:t>may occur only in the most exceptional of circumstances, and would be permissible only where the accused has been given ample notice and opportunity to attend but has failed to do so.</w:t>
      </w:r>
    </w:p>
    <w:p w14:paraId="17B6657A" w14:textId="77777777" w:rsidR="00712FF9" w:rsidRDefault="00712FF9" w:rsidP="00712FF9">
      <w:pPr>
        <w:pStyle w:val="Heading3"/>
        <w:shd w:val="clear" w:color="auto" w:fill="FFFFFF"/>
        <w:rPr>
          <w:rFonts w:ascii="Open Sans" w:hAnsi="Open Sans" w:cs="Open Sans"/>
          <w:color w:val="222222"/>
        </w:rPr>
      </w:pPr>
      <w:bookmarkStart w:id="78" w:name="_Toc131144666"/>
      <w:r>
        <w:rPr>
          <w:rFonts w:ascii="Open Sans" w:hAnsi="Open Sans" w:cs="Open Sans"/>
          <w:color w:val="222222"/>
        </w:rPr>
        <w:t>To legal assistance and to have legal assistance assigned to the accused, where the interests of justice so require, and without payment if the accused is unable to pay for it</w:t>
      </w:r>
      <w:bookmarkEnd w:id="78"/>
    </w:p>
    <w:p w14:paraId="4B5FB749"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accused should be informed about his or her entitlements to legal assistance. The obligation to provide legal assistance is restricted to cases in which the interests of justice require it. The right does not entitle the accused to an unrestricted choice of a lawyer provided under legal assistance. The High Court has held that where a person is charged with a serious criminal offence but cannot afford legal representation, the absence of any legal representation will be relevant to the fairness of the trial. In the case of an appeal, the country is entitled to take into account the reasonable prospects of success of the appeal in deciding whether or not to grant legal assistance.</w:t>
      </w:r>
    </w:p>
    <w:p w14:paraId="32074DAD" w14:textId="77777777" w:rsidR="00712FF9" w:rsidRDefault="00712FF9" w:rsidP="00712FF9">
      <w:pPr>
        <w:pStyle w:val="Heading3"/>
        <w:shd w:val="clear" w:color="auto" w:fill="FFFFFF"/>
        <w:rPr>
          <w:rFonts w:ascii="Open Sans" w:hAnsi="Open Sans" w:cs="Open Sans"/>
          <w:color w:val="222222"/>
        </w:rPr>
      </w:pPr>
      <w:bookmarkStart w:id="79" w:name="_Toc131144667"/>
      <w:r>
        <w:rPr>
          <w:rFonts w:ascii="Open Sans" w:hAnsi="Open Sans" w:cs="Open Sans"/>
          <w:color w:val="222222"/>
        </w:rPr>
        <w:t>To cross-examine prosecution witnesses and to obtain the attendance and examination of witnesses on behalf of the accused on the same conditions as the prosecution</w:t>
      </w:r>
      <w:bookmarkEnd w:id="79"/>
    </w:p>
    <w:p w14:paraId="5D3BBDBD"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 xml:space="preserve">The right to cross-examine prosecution witnesses would normally require evidence to be given in person at the trial, so that the reliability and credibility of the witness can be tested. However, evidence given other than in person, for instance by way of written statement, may not violate this right, provided that the reliability and credibility of the witness giving the statement can still be tested. A violation will be less likely if the evidence can be independently corroborated. Special methods to protect a vulnerable witness, for example by the use of video link, or where the witness is shielded from the accused, may be permissible if it is strictly necessary to use them. Each case should be considered on its merits, </w:t>
      </w:r>
      <w:r>
        <w:rPr>
          <w:rFonts w:ascii="Open Sans" w:hAnsi="Open Sans" w:cs="Open Sans"/>
          <w:color w:val="222222"/>
        </w:rPr>
        <w:lastRenderedPageBreak/>
        <w:t>giving careful consideration to the rights of the accused under article 14(3)(e). It is a matter for the accused to decide who should be called as a defence witness. If a defence witness fails to appear, the court may need to take steps to secure the witness's attendance, particularly if the accused is facing a serious charge and a heavy penalty.</w:t>
      </w:r>
    </w:p>
    <w:p w14:paraId="676C3CE7" w14:textId="77777777" w:rsidR="00712FF9" w:rsidRDefault="00712FF9" w:rsidP="00712FF9">
      <w:pPr>
        <w:pStyle w:val="Heading3"/>
        <w:shd w:val="clear" w:color="auto" w:fill="FFFFFF"/>
        <w:rPr>
          <w:rFonts w:ascii="Open Sans" w:hAnsi="Open Sans" w:cs="Open Sans"/>
          <w:color w:val="222222"/>
        </w:rPr>
      </w:pPr>
      <w:bookmarkStart w:id="80" w:name="_Toc131144668"/>
      <w:r>
        <w:rPr>
          <w:rFonts w:ascii="Open Sans" w:hAnsi="Open Sans" w:cs="Open Sans"/>
          <w:color w:val="222222"/>
        </w:rPr>
        <w:t>To have the assistance of an interpreter</w:t>
      </w:r>
      <w:bookmarkEnd w:id="80"/>
    </w:p>
    <w:p w14:paraId="3E6954C4"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applies to persons who do not understand or speak English. It does not give a right to an interpreter without charge to a person who prefers to use a language other than English. The right applies at all stages, including during police interviews and court hearings. Interpreters must be competent and preferably accredited. For example, the Australian and Northern Territory governments have established a memorandum of understanding for the provision of interpreter services to Indigenous Australians.</w:t>
      </w:r>
    </w:p>
    <w:p w14:paraId="69E5BDCA"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In relation to the translation of documents used in evidence, the UN Human Rights Committee has stated that there is no right for an accused who does not understand the language used in court to be provided with translations of all relevant documents, provided that they are made available to his or her counsel.</w:t>
      </w:r>
    </w:p>
    <w:p w14:paraId="2DAEDF60" w14:textId="77777777" w:rsidR="00712FF9" w:rsidRDefault="00712FF9" w:rsidP="00712FF9">
      <w:pPr>
        <w:pStyle w:val="Heading3"/>
        <w:shd w:val="clear" w:color="auto" w:fill="FFFFFF"/>
        <w:rPr>
          <w:rFonts w:ascii="Open Sans" w:hAnsi="Open Sans" w:cs="Open Sans"/>
          <w:color w:val="222222"/>
        </w:rPr>
      </w:pPr>
      <w:bookmarkStart w:id="81" w:name="_Toc131144669"/>
      <w:r>
        <w:rPr>
          <w:rFonts w:ascii="Open Sans" w:hAnsi="Open Sans" w:cs="Open Sans"/>
          <w:color w:val="222222"/>
        </w:rPr>
        <w:t>To be free from self-incrimination</w:t>
      </w:r>
      <w:bookmarkEnd w:id="81"/>
    </w:p>
    <w:p w14:paraId="28BC3C6B"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privilege against self-incrimination has long been recognised by the common law and applies unless expressly abrogated by statute. As part of the privilege, an accused may choose not to give evidence at trial, and no adverse inference is to be taken from the accused's refusal. Self-incriminating evidence that is found by the court to have been unfairly obtained, such as a confession made under duress, must be excluded at trial. The use of compulsorily obtained evidence, such as DNA samples, that has an existence independently of the will of the accused, does not violate this right.</w:t>
      </w:r>
    </w:p>
    <w:p w14:paraId="5866A6D7" w14:textId="77777777" w:rsidR="00712FF9" w:rsidRDefault="00712FF9" w:rsidP="00712FF9">
      <w:pPr>
        <w:pStyle w:val="Heading3"/>
        <w:shd w:val="clear" w:color="auto" w:fill="FFFFFF"/>
        <w:rPr>
          <w:rFonts w:ascii="Open Sans" w:hAnsi="Open Sans" w:cs="Open Sans"/>
          <w:color w:val="222222"/>
        </w:rPr>
      </w:pPr>
      <w:bookmarkStart w:id="82" w:name="_Toc131144670"/>
      <w:r>
        <w:rPr>
          <w:rFonts w:ascii="Open Sans" w:hAnsi="Open Sans" w:cs="Open Sans"/>
          <w:color w:val="222222"/>
        </w:rPr>
        <w:t>To have a conviction and sentence reviewed by a higher court</w:t>
      </w:r>
      <w:bookmarkEnd w:id="82"/>
    </w:p>
    <w:p w14:paraId="751B7B5E"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For this right to have substance, the same protections afforded to the accused at trial should also apply on appeal. The court hearing the appeal should have the power to overturn or affirm the conviction or sentence. An appeal should generally be held in public, although if the issues are not complex and it would not prejudice the accused, an appeal can be heard by the court 'on the papers'. The right does not require the appeal court to conduct a retrial of the factual issues and does not require that further evidence be led. The opportunity to 'seek leave to appeal' would satisfy this right if the application for leave entails a full review of the evidence and the law.</w:t>
      </w:r>
    </w:p>
    <w:p w14:paraId="3A58A941" w14:textId="77777777" w:rsidR="00712FF9" w:rsidRDefault="00712FF9" w:rsidP="00712FF9">
      <w:pPr>
        <w:pStyle w:val="Heading3"/>
        <w:shd w:val="clear" w:color="auto" w:fill="FFFFFF"/>
        <w:rPr>
          <w:rFonts w:ascii="Open Sans" w:hAnsi="Open Sans" w:cs="Open Sans"/>
          <w:color w:val="222222"/>
        </w:rPr>
      </w:pPr>
      <w:bookmarkStart w:id="83" w:name="_Toc131144671"/>
      <w:r>
        <w:rPr>
          <w:rFonts w:ascii="Open Sans" w:hAnsi="Open Sans" w:cs="Open Sans"/>
          <w:color w:val="222222"/>
        </w:rPr>
        <w:lastRenderedPageBreak/>
        <w:t>To be paid compensation where a criminal conviction has been overturned or where a person has been pardoned in situations involving a miscarriage of justice</w:t>
      </w:r>
      <w:bookmarkEnd w:id="83"/>
    </w:p>
    <w:p w14:paraId="7661EFDD"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This right requires the payment of compensation to persons who have been convicted of a criminal offence and punished accordingly, if their conviction has been reversed or they have been pardoned on the ground that a new or newly discovered fact shows conclusively that there has been a miscarriage of justice. It does not require compensation if the conviction is set aside on appeal, before the judgment becomes final. Nor is compensation required in the case of a pardon that is humanitarian or discretionary in nature. Australia has made a reservation to article 14(6) that 'the provision of compensation for miscarriage of justice in the circumstances may be by administrative procedures rather than pursuant to specific legal provision'. This means that the availability of a remedy for a miscarriage of justice need not be provided for by statute. During Australia's Universal Periodic Review in 2011, the Australian Government committed to establishing a systematic process for the regular review of Australia's reservations to international human rights treaties.</w:t>
      </w:r>
    </w:p>
    <w:p w14:paraId="263BD58B" w14:textId="77777777" w:rsidR="00712FF9" w:rsidRDefault="00712FF9" w:rsidP="00712FF9">
      <w:pPr>
        <w:pStyle w:val="Heading3"/>
        <w:shd w:val="clear" w:color="auto" w:fill="FFFFFF"/>
        <w:rPr>
          <w:rFonts w:ascii="Open Sans" w:hAnsi="Open Sans" w:cs="Open Sans"/>
          <w:color w:val="222222"/>
        </w:rPr>
      </w:pPr>
      <w:bookmarkStart w:id="84" w:name="_Toc131144672"/>
      <w:r>
        <w:rPr>
          <w:rFonts w:ascii="Open Sans" w:hAnsi="Open Sans" w:cs="Open Sans"/>
          <w:color w:val="222222"/>
        </w:rPr>
        <w:t>Not to be tried or punished more than once</w:t>
      </w:r>
      <w:bookmarkEnd w:id="84"/>
    </w:p>
    <w:p w14:paraId="607BEA7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prohibition on double jeopardy is a fundamental safeguard in the common law. It means that a person who has been convicted or acquitted of a criminal charge is not to be re-tried for the same or substantially the same offence. The right applies after all avenues for appeal or review have been exhausted, or after time limits for appeal or review have passed. It does not prevent a new trial when an appeal court has found a conviction to be a miscarriage of justice</w:t>
      </w:r>
      <w:r>
        <w:rPr>
          <w:rStyle w:val="Emphasis"/>
          <w:rFonts w:ascii="Open Sans" w:hAnsi="Open Sans" w:cs="Open Sans"/>
          <w:color w:val="222222"/>
        </w:rPr>
        <w:t>. </w:t>
      </w:r>
      <w:r>
        <w:rPr>
          <w:rFonts w:ascii="Open Sans" w:hAnsi="Open Sans" w:cs="Open Sans"/>
          <w:color w:val="222222"/>
        </w:rPr>
        <w:t>The UN Human Rights Committee has stated that article 14(7) does not prohibit the resumption of a criminal trial justified by exceptional circumstances, such as the discovery of evidence which was not available or known at the time of the acquittal. Penalties or sanctions imposed by professional disciplinary bodies would not normally be regarded as a punishment for this purpose. The right not to be punished more than once may be called into question by the continued detention of persons, beyond the period for which a court has imposed imprisonment, for example persons convicted of serious sexual offences. The right applies only to subsequent trials within the one country, not to a subsequent trial in a different country to that of the original trial.</w:t>
      </w:r>
    </w:p>
    <w:p w14:paraId="0CDEE78C" w14:textId="77777777" w:rsidR="00712FF9" w:rsidRDefault="00712FF9" w:rsidP="00712FF9">
      <w:pPr>
        <w:pStyle w:val="Heading3"/>
        <w:shd w:val="clear" w:color="auto" w:fill="FFFFFF"/>
        <w:rPr>
          <w:rFonts w:ascii="Open Sans" w:hAnsi="Open Sans" w:cs="Open Sans"/>
          <w:color w:val="222222"/>
        </w:rPr>
      </w:pPr>
      <w:bookmarkStart w:id="85" w:name="_Toc131144673"/>
      <w:r>
        <w:rPr>
          <w:rFonts w:ascii="Open Sans" w:hAnsi="Open Sans" w:cs="Open Sans"/>
          <w:color w:val="222222"/>
        </w:rPr>
        <w:t>Children in the criminal process</w:t>
      </w:r>
      <w:bookmarkEnd w:id="85"/>
    </w:p>
    <w:p w14:paraId="5E659331"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Guidance on the protections for children in the criminal process is contained in the Guidance Sheet on </w:t>
      </w:r>
      <w:hyperlink r:id="rId60" w:history="1">
        <w:r>
          <w:rPr>
            <w:rStyle w:val="Hyperlink"/>
            <w:rFonts w:ascii="Open Sans" w:eastAsiaTheme="majorEastAsia" w:hAnsi="Open Sans" w:cs="Open Sans"/>
            <w:color w:val="0076AE"/>
          </w:rPr>
          <w:t>Rights of parents and children</w:t>
        </w:r>
      </w:hyperlink>
      <w:r>
        <w:rPr>
          <w:rFonts w:ascii="Open Sans" w:hAnsi="Open Sans" w:cs="Open Sans"/>
          <w:color w:val="222222"/>
        </w:rPr>
        <w:t>.</w:t>
      </w:r>
    </w:p>
    <w:p w14:paraId="79CC9484" w14:textId="77777777" w:rsidR="00712FF9" w:rsidRDefault="00712FF9" w:rsidP="00712FF9">
      <w:pPr>
        <w:pStyle w:val="Heading2"/>
        <w:shd w:val="clear" w:color="auto" w:fill="FFFFFF"/>
        <w:rPr>
          <w:rFonts w:ascii="Open Sans" w:hAnsi="Open Sans" w:cs="Open Sans"/>
          <w:color w:val="222222"/>
        </w:rPr>
      </w:pPr>
      <w:bookmarkStart w:id="86" w:name="_Toc131144674"/>
      <w:r>
        <w:rPr>
          <w:rFonts w:ascii="Open Sans" w:hAnsi="Open Sans" w:cs="Open Sans"/>
          <w:color w:val="222222"/>
        </w:rPr>
        <w:lastRenderedPageBreak/>
        <w:t>Can minimum guarantees in criminal proceedings be limited?</w:t>
      </w:r>
      <w:bookmarkEnd w:id="86"/>
    </w:p>
    <w:p w14:paraId="386A845D" w14:textId="77777777" w:rsidR="00712FF9" w:rsidRDefault="00712FF9" w:rsidP="00712FF9">
      <w:pPr>
        <w:pStyle w:val="Heading3"/>
        <w:shd w:val="clear" w:color="auto" w:fill="FFFFFF"/>
        <w:rPr>
          <w:rFonts w:ascii="Open Sans" w:hAnsi="Open Sans" w:cs="Open Sans"/>
          <w:color w:val="222222"/>
        </w:rPr>
      </w:pPr>
      <w:bookmarkStart w:id="87" w:name="_Toc131144675"/>
      <w:r>
        <w:rPr>
          <w:rFonts w:ascii="Open Sans" w:hAnsi="Open Sans" w:cs="Open Sans"/>
          <w:color w:val="222222"/>
        </w:rPr>
        <w:t>Derogation</w:t>
      </w:r>
      <w:bookmarkEnd w:id="87"/>
    </w:p>
    <w:p w14:paraId="6964B9BA"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 xml:space="preserve">Under article 4 of the ICCPR, countries may take measures derogating from certain of their obligations under the Covenant, including minimum guarantees in criminal </w:t>
      </w:r>
      <w:proofErr w:type="spellStart"/>
      <w:r>
        <w:rPr>
          <w:rFonts w:ascii="Open Sans" w:hAnsi="Open Sans" w:cs="Open Sans"/>
          <w:color w:val="222222"/>
        </w:rPr>
        <w:t>proceedings'in</w:t>
      </w:r>
      <w:proofErr w:type="spellEnd"/>
      <w:r>
        <w:rPr>
          <w:rFonts w:ascii="Open Sans" w:hAnsi="Open Sans" w:cs="Open Sans"/>
          <w:color w:val="222222"/>
        </w:rPr>
        <w:t xml:space="preserve"> time of public emergency which threatens the life of the nation and the existence of which is officially proclaimed'. Such measures may only be taken 'to the extent strictly required by the exigencies of the situation, provided that such measures are not inconsistent with their other obligations under international law and do not involve discrimination solely on the ground of race, colour, sex, language, religion or social origin'.</w:t>
      </w:r>
    </w:p>
    <w:p w14:paraId="5835FB8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UN Human Rights Committee has indicated that strict limitations would apply to any derogation under article 14.</w:t>
      </w:r>
    </w:p>
    <w:p w14:paraId="29FF0D30" w14:textId="77777777" w:rsidR="00712FF9" w:rsidRDefault="00712FF9" w:rsidP="00712FF9">
      <w:pPr>
        <w:pStyle w:val="Heading3"/>
        <w:shd w:val="clear" w:color="auto" w:fill="FFFFFF"/>
        <w:rPr>
          <w:rFonts w:ascii="Open Sans" w:hAnsi="Open Sans" w:cs="Open Sans"/>
          <w:color w:val="222222"/>
        </w:rPr>
      </w:pPr>
      <w:bookmarkStart w:id="88" w:name="_Toc131144676"/>
      <w:r>
        <w:rPr>
          <w:rFonts w:ascii="Open Sans" w:hAnsi="Open Sans" w:cs="Open Sans"/>
          <w:color w:val="222222"/>
        </w:rPr>
        <w:t>Limitation</w:t>
      </w:r>
      <w:bookmarkEnd w:id="88"/>
    </w:p>
    <w:p w14:paraId="38A9A52F"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As indicated above, in certain limited circumstances, limitations on some of the minimum guarantees in criminal proceedings are permissible.</w:t>
      </w:r>
    </w:p>
    <w:p w14:paraId="5F32BF22" w14:textId="77777777" w:rsidR="00712FF9" w:rsidRDefault="00712FF9" w:rsidP="00712FF9">
      <w:pPr>
        <w:pStyle w:val="Heading2"/>
        <w:shd w:val="clear" w:color="auto" w:fill="FFFFFF"/>
        <w:rPr>
          <w:rFonts w:ascii="Open Sans" w:hAnsi="Open Sans" w:cs="Open Sans"/>
          <w:color w:val="222222"/>
        </w:rPr>
      </w:pPr>
      <w:bookmarkStart w:id="89" w:name="_Toc131144677"/>
      <w:r>
        <w:rPr>
          <w:rFonts w:ascii="Open Sans" w:hAnsi="Open Sans" w:cs="Open Sans"/>
          <w:color w:val="222222"/>
        </w:rPr>
        <w:t>Which domestic laws relate to minimum guarantees in criminal proceedings?</w:t>
      </w:r>
      <w:bookmarkEnd w:id="89"/>
    </w:p>
    <w:p w14:paraId="38DB6AFF"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w:t>
      </w:r>
      <w:r>
        <w:rPr>
          <w:rStyle w:val="Emphasis"/>
          <w:rFonts w:ascii="Open Sans" w:hAnsi="Open Sans" w:cs="Open Sans"/>
          <w:color w:val="222222"/>
        </w:rPr>
        <w:t>Evidence Act 1995 </w:t>
      </w:r>
      <w:r>
        <w:rPr>
          <w:rFonts w:ascii="Open Sans" w:hAnsi="Open Sans" w:cs="Open Sans"/>
          <w:color w:val="222222"/>
        </w:rPr>
        <w:t>contains a number of provisions relevant to minimum guarantees in criminal proceedings:</w:t>
      </w:r>
    </w:p>
    <w:p w14:paraId="54A484D6" w14:textId="77777777" w:rsidR="00712FF9" w:rsidRDefault="00712FF9">
      <w:pPr>
        <w:numPr>
          <w:ilvl w:val="0"/>
          <w:numId w:val="39"/>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Section 20 provides that any comment made about the failure of the defendant to give evidence must not suggest that the defendant failed to give evidence because the defendant was, or believed that he or she was, guilty of the offence concerned.</w:t>
      </w:r>
    </w:p>
    <w:p w14:paraId="4688FB88" w14:textId="77777777" w:rsidR="00712FF9" w:rsidRDefault="00712FF9">
      <w:pPr>
        <w:numPr>
          <w:ilvl w:val="0"/>
          <w:numId w:val="39"/>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Section 30 provides that a witness may give evidence about a fact through an interpreter unless the witness can understand and speak English sufficiently to enable the witness to understand, and to make an adequate reply to questions that may be put about the fact.</w:t>
      </w:r>
    </w:p>
    <w:p w14:paraId="10265891" w14:textId="77777777" w:rsidR="00712FF9" w:rsidRDefault="00712FF9">
      <w:pPr>
        <w:numPr>
          <w:ilvl w:val="0"/>
          <w:numId w:val="39"/>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Sections 128 and 128A make provision about dealing with an objection made by a witness that the giving of evidence may tend to show that witness has committed an offence.</w:t>
      </w:r>
    </w:p>
    <w:p w14:paraId="2A20631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Criminal offences under federal law and under the laws of each state and territory are primarily heard in state and territory courts. Sections 68 and 39 of the </w:t>
      </w:r>
      <w:r>
        <w:rPr>
          <w:rStyle w:val="Emphasis"/>
          <w:rFonts w:ascii="Open Sans" w:hAnsi="Open Sans" w:cs="Open Sans"/>
          <w:color w:val="222222"/>
        </w:rPr>
        <w:t>Judiciary Act 1903</w:t>
      </w:r>
      <w:r>
        <w:rPr>
          <w:rFonts w:ascii="Open Sans" w:hAnsi="Open Sans" w:cs="Open Sans"/>
          <w:color w:val="222222"/>
        </w:rPr>
        <w:t xml:space="preserve"> confer federal jurisdiction on state and </w:t>
      </w:r>
      <w:proofErr w:type="spellStart"/>
      <w:r>
        <w:rPr>
          <w:rFonts w:ascii="Open Sans" w:hAnsi="Open Sans" w:cs="Open Sans"/>
          <w:color w:val="222222"/>
        </w:rPr>
        <w:t>serritory</w:t>
      </w:r>
      <w:proofErr w:type="spellEnd"/>
      <w:r>
        <w:rPr>
          <w:rFonts w:ascii="Open Sans" w:hAnsi="Open Sans" w:cs="Open Sans"/>
          <w:color w:val="222222"/>
        </w:rPr>
        <w:t xml:space="preserve"> courts for criminal </w:t>
      </w:r>
      <w:r>
        <w:rPr>
          <w:rFonts w:ascii="Open Sans" w:hAnsi="Open Sans" w:cs="Open Sans"/>
          <w:color w:val="222222"/>
        </w:rPr>
        <w:lastRenderedPageBreak/>
        <w:t>matters. Appeals are therefore normally heard within the appeal system of each state or territory court.</w:t>
      </w:r>
    </w:p>
    <w:p w14:paraId="3785DD25"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There are a small number of federal criminal matters that may be heard and appealed within the Federal Court of Australia. Section 30AA of the </w:t>
      </w:r>
      <w:r>
        <w:rPr>
          <w:rStyle w:val="Emphasis"/>
          <w:rFonts w:ascii="Open Sans" w:hAnsi="Open Sans" w:cs="Open Sans"/>
          <w:color w:val="222222"/>
        </w:rPr>
        <w:t>Federal Court of Australia Act 1976</w:t>
      </w:r>
      <w:r>
        <w:rPr>
          <w:rFonts w:ascii="Open Sans" w:hAnsi="Open Sans" w:cs="Open Sans"/>
          <w:color w:val="222222"/>
        </w:rPr>
        <w:t> allows the Federal Court to hear criminal appeals from the Federal Court's original jurisdiction and from state and territory Courts, in some circumstances.</w:t>
      </w:r>
    </w:p>
    <w:p w14:paraId="258196FB"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Section 73 of the </w:t>
      </w:r>
      <w:r>
        <w:rPr>
          <w:rStyle w:val="Emphasis"/>
          <w:rFonts w:ascii="Open Sans" w:hAnsi="Open Sans" w:cs="Open Sans"/>
          <w:color w:val="222222"/>
        </w:rPr>
        <w:t>Constitution</w:t>
      </w:r>
      <w:r>
        <w:rPr>
          <w:rFonts w:ascii="Open Sans" w:hAnsi="Open Sans" w:cs="Open Sans"/>
          <w:color w:val="222222"/>
        </w:rPr>
        <w:t> and Part V of the Judiciary Act provides for the appellate jurisdiction of the High Court. The High Court hears appeals, by special leave, from the Federal Court of Australia, courts exercising federal jurisdiction and state and territory Supreme Courts.</w:t>
      </w:r>
    </w:p>
    <w:p w14:paraId="7789DA0C" w14:textId="77777777" w:rsidR="00712FF9" w:rsidRDefault="00712FF9" w:rsidP="00712FF9">
      <w:pPr>
        <w:pStyle w:val="Heading2"/>
        <w:shd w:val="clear" w:color="auto" w:fill="FFFFFF"/>
        <w:rPr>
          <w:rFonts w:ascii="Open Sans" w:hAnsi="Open Sans" w:cs="Open Sans"/>
          <w:color w:val="222222"/>
        </w:rPr>
      </w:pPr>
      <w:bookmarkStart w:id="90" w:name="_Toc131144678"/>
      <w:r>
        <w:rPr>
          <w:rFonts w:ascii="Open Sans" w:hAnsi="Open Sans" w:cs="Open Sans"/>
          <w:color w:val="222222"/>
        </w:rPr>
        <w:t>What other rights and freedoms relate to minimum guarantees in criminal proceedings?</w:t>
      </w:r>
      <w:bookmarkEnd w:id="90"/>
    </w:p>
    <w:p w14:paraId="7E7EE76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Minimum guarantees in criminal proceedings may also be relevant to the other rights in relation to legal proceedings contained in article 14 of the ICCPR, namely the right to a fair trial and fair hearing, and the right to the presumption of innocence.</w:t>
      </w:r>
    </w:p>
    <w:p w14:paraId="65807418"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The right may also be relevant to:</w:t>
      </w:r>
    </w:p>
    <w:p w14:paraId="0BF2AB8B" w14:textId="77777777" w:rsidR="00712FF9" w:rsidRDefault="00712FF9">
      <w:pPr>
        <w:numPr>
          <w:ilvl w:val="0"/>
          <w:numId w:val="4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prohibition on torture and cruel, inhuman or degrading treatment in article 7 of the ICCPR</w:t>
      </w:r>
    </w:p>
    <w:p w14:paraId="77AB9968" w14:textId="77777777" w:rsidR="00712FF9" w:rsidRDefault="00712FF9">
      <w:pPr>
        <w:numPr>
          <w:ilvl w:val="0"/>
          <w:numId w:val="4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be free from arbitrary arrest and detention in article 9 of the ICCPR</w:t>
      </w:r>
    </w:p>
    <w:p w14:paraId="0D29278A" w14:textId="77777777" w:rsidR="00712FF9" w:rsidRDefault="00712FF9">
      <w:pPr>
        <w:numPr>
          <w:ilvl w:val="0"/>
          <w:numId w:val="40"/>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the right to humane treatment in detention in article 10 of the ICCPR.</w:t>
      </w:r>
    </w:p>
    <w:p w14:paraId="7EDE9D3D" w14:textId="77777777" w:rsidR="00712FF9" w:rsidRDefault="00712FF9" w:rsidP="00712FF9">
      <w:pPr>
        <w:pStyle w:val="Heading2"/>
        <w:shd w:val="clear" w:color="auto" w:fill="FFFFFF"/>
        <w:rPr>
          <w:rFonts w:ascii="Open Sans" w:hAnsi="Open Sans" w:cs="Open Sans"/>
          <w:color w:val="222222"/>
        </w:rPr>
      </w:pPr>
      <w:bookmarkStart w:id="91" w:name="_Toc131144679"/>
      <w:r>
        <w:rPr>
          <w:rFonts w:ascii="Open Sans" w:hAnsi="Open Sans" w:cs="Open Sans"/>
          <w:color w:val="222222"/>
        </w:rPr>
        <w:t>Articles from relevant Conventions</w:t>
      </w:r>
      <w:bookmarkEnd w:id="91"/>
    </w:p>
    <w:p w14:paraId="3D4331A2" w14:textId="77777777" w:rsidR="00712FF9" w:rsidRDefault="00712FF9" w:rsidP="00712FF9">
      <w:pPr>
        <w:pStyle w:val="NormalWeb"/>
        <w:shd w:val="clear" w:color="auto" w:fill="FFFFFF"/>
        <w:rPr>
          <w:rFonts w:ascii="Open Sans" w:hAnsi="Open Sans" w:cs="Open Sans"/>
          <w:color w:val="222222"/>
        </w:rPr>
      </w:pPr>
      <w:r>
        <w:rPr>
          <w:rStyle w:val="Strong"/>
          <w:rFonts w:ascii="Open Sans" w:eastAsiaTheme="majorEastAsia" w:hAnsi="Open Sans" w:cs="Open Sans"/>
          <w:color w:val="222222"/>
        </w:rPr>
        <w:t>International Covenant on Civil and Political Rights</w:t>
      </w:r>
    </w:p>
    <w:p w14:paraId="55D3F316"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Article 14</w:t>
      </w:r>
    </w:p>
    <w:p w14:paraId="3F2167A9"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In the determination of any criminal charge against him, everyone shall be entitled to the following minimum guarantees, in full equality:</w:t>
      </w:r>
    </w:p>
    <w:p w14:paraId="7F92A1F8"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informed promptly and in detail in a language which he understands of the nature and cause of the charge against him;</w:t>
      </w:r>
    </w:p>
    <w:p w14:paraId="375CB6A8"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adequate time and facilities for the preparation of his defence and to communicate with counsel of his own choosing;</w:t>
      </w:r>
    </w:p>
    <w:p w14:paraId="7AD825C4"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be tried without undue delay;</w:t>
      </w:r>
    </w:p>
    <w:p w14:paraId="512DCF22"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 xml:space="preserve">to be tried in his presence, and to defend himself in person or through legal assistance of his own choosing; to be informed, if he </w:t>
      </w:r>
      <w:r>
        <w:rPr>
          <w:rFonts w:ascii="Open Sans" w:hAnsi="Open Sans" w:cs="Open Sans"/>
          <w:color w:val="222222"/>
        </w:rPr>
        <w:lastRenderedPageBreak/>
        <w:t>does not have legal assistance, of this right; and to have legal assistance assigned to him, in any case where the interests of justice so require, and without payment by him in any such case if he does not have sufficient means to pay for it;</w:t>
      </w:r>
    </w:p>
    <w:p w14:paraId="657019CD"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examine, or have examined, the witnesses against him and to obtain the attendance and examination of witnesses on his behalf under the same conditions as witnesses against him;</w:t>
      </w:r>
    </w:p>
    <w:p w14:paraId="189AAE22"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to have the free assistance of an interpreter if he cannot understand or speak the language used in court;</w:t>
      </w:r>
    </w:p>
    <w:p w14:paraId="01170DF8" w14:textId="77777777" w:rsidR="00712FF9" w:rsidRDefault="00712FF9">
      <w:pPr>
        <w:numPr>
          <w:ilvl w:val="1"/>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not to be compelled to testify against himself or to confess guilt.</w:t>
      </w:r>
    </w:p>
    <w:p w14:paraId="6C7F9EBC"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Everyone convicted of a crime shall have the right to his conviction and sentence being reviewed by a higher tribunal according to law.</w:t>
      </w:r>
    </w:p>
    <w:p w14:paraId="76F9829D"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When a person has by a final decision been convicted of a criminal offence and when subsequently his conviction has been reversed or he has been pardoned on the ground that a new or newly discovered fact shows conclusively that there has been a miscarriage of justice, the person who has suffered punishment as a result of such conviction shall be compensated according to law, unless it is proved that the non-disclosure of the unknown fact in time is wholly or partly attributable to him.</w:t>
      </w:r>
    </w:p>
    <w:p w14:paraId="5D14B134" w14:textId="77777777" w:rsidR="00712FF9" w:rsidRDefault="00712FF9">
      <w:pPr>
        <w:numPr>
          <w:ilvl w:val="0"/>
          <w:numId w:val="41"/>
        </w:numPr>
        <w:shd w:val="clear" w:color="auto" w:fill="FFFFFF"/>
        <w:spacing w:before="100" w:beforeAutospacing="1" w:after="100" w:afterAutospacing="1" w:line="240" w:lineRule="auto"/>
        <w:rPr>
          <w:rFonts w:ascii="Open Sans" w:hAnsi="Open Sans" w:cs="Open Sans"/>
          <w:color w:val="222222"/>
        </w:rPr>
      </w:pPr>
      <w:r>
        <w:rPr>
          <w:rFonts w:ascii="Open Sans" w:hAnsi="Open Sans" w:cs="Open Sans"/>
          <w:color w:val="222222"/>
        </w:rPr>
        <w:t>No one shall be liable to be tried or punished again for an offence for which he has already been finally convicted or acquitted in accordance with the law and penal procedure of each country.</w:t>
      </w:r>
    </w:p>
    <w:p w14:paraId="7DDEEE94" w14:textId="77777777" w:rsidR="00712FF9" w:rsidRDefault="00712FF9" w:rsidP="00712FF9">
      <w:pPr>
        <w:pStyle w:val="NormalWeb"/>
        <w:shd w:val="clear" w:color="auto" w:fill="FFFFFF"/>
        <w:rPr>
          <w:rFonts w:ascii="Open Sans" w:hAnsi="Open Sans" w:cs="Open Sans"/>
          <w:color w:val="222222"/>
        </w:rPr>
      </w:pPr>
      <w:r>
        <w:rPr>
          <w:rFonts w:ascii="Open Sans" w:hAnsi="Open Sans" w:cs="Open Sans"/>
          <w:color w:val="222222"/>
        </w:rPr>
        <w:t>See also: CRC article 40.</w:t>
      </w:r>
    </w:p>
    <w:p w14:paraId="6C73AA09" w14:textId="77777777" w:rsidR="00712FF9" w:rsidRDefault="00712FF9" w:rsidP="00712FF9">
      <w:pPr>
        <w:pStyle w:val="Heading2"/>
        <w:shd w:val="clear" w:color="auto" w:fill="FFFFFF"/>
        <w:rPr>
          <w:rFonts w:ascii="Open Sans" w:hAnsi="Open Sans" w:cs="Open Sans"/>
          <w:color w:val="222222"/>
        </w:rPr>
      </w:pPr>
      <w:bookmarkStart w:id="92" w:name="_Toc131144680"/>
      <w:r>
        <w:rPr>
          <w:rFonts w:ascii="Open Sans" w:hAnsi="Open Sans" w:cs="Open Sans"/>
          <w:color w:val="222222"/>
        </w:rPr>
        <w:t>Where can I read more about minimum guarantees in criminal proceedings?</w:t>
      </w:r>
      <w:bookmarkEnd w:id="92"/>
    </w:p>
    <w:p w14:paraId="2C4F084B"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61" w:history="1">
        <w:r w:rsidR="00712FF9">
          <w:rPr>
            <w:rStyle w:val="Hyperlink"/>
            <w:rFonts w:ascii="Open Sans" w:hAnsi="Open Sans" w:cs="Open Sans"/>
            <w:color w:val="0076AE"/>
          </w:rPr>
          <w:t>United Nations, Office of the High Commissioner for Human Rights (OHCHR), Human Rights Bodies</w:t>
        </w:r>
      </w:hyperlink>
      <w:r w:rsidR="00712FF9">
        <w:rPr>
          <w:rFonts w:ascii="Open Sans" w:hAnsi="Open Sans" w:cs="Open Sans"/>
          <w:color w:val="222222"/>
        </w:rPr>
        <w:t> (human rights treaty bodies that monitor implementation of the core international human rights treaties)</w:t>
      </w:r>
    </w:p>
    <w:p w14:paraId="6EFDE3CF"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62" w:history="1">
        <w:r w:rsidR="00712FF9">
          <w:rPr>
            <w:rStyle w:val="Hyperlink"/>
            <w:rFonts w:ascii="Open Sans" w:hAnsi="Open Sans" w:cs="Open Sans"/>
            <w:color w:val="0076AE"/>
          </w:rPr>
          <w:t>UN Human Rights Committee General Comment No 32</w:t>
        </w:r>
      </w:hyperlink>
    </w:p>
    <w:p w14:paraId="1D196FBE"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63" w:history="1">
        <w:r w:rsidR="00712FF9">
          <w:rPr>
            <w:rStyle w:val="Hyperlink"/>
            <w:rFonts w:ascii="Open Sans" w:hAnsi="Open Sans" w:cs="Open Sans"/>
            <w:color w:val="0076AE"/>
          </w:rPr>
          <w:t>Attorney-General's Department, Legal Assistance</w:t>
        </w:r>
      </w:hyperlink>
    </w:p>
    <w:p w14:paraId="73E08318" w14:textId="77777777" w:rsidR="00712FF9"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64" w:history="1">
        <w:r w:rsidR="00712FF9">
          <w:rPr>
            <w:rStyle w:val="Hyperlink"/>
            <w:rFonts w:ascii="Open Sans" w:hAnsi="Open Sans" w:cs="Open Sans"/>
            <w:color w:val="0076AE"/>
          </w:rPr>
          <w:t>High Court decision in R v Dietrich (on legal representation and the right to a fair trial)</w:t>
        </w:r>
      </w:hyperlink>
    </w:p>
    <w:p w14:paraId="4C193DAF" w14:textId="7B5EB5CD" w:rsidR="00B6379B" w:rsidRPr="00F55B8A" w:rsidRDefault="00000000">
      <w:pPr>
        <w:numPr>
          <w:ilvl w:val="0"/>
          <w:numId w:val="42"/>
        </w:numPr>
        <w:shd w:val="clear" w:color="auto" w:fill="FFFFFF"/>
        <w:spacing w:before="100" w:beforeAutospacing="1" w:after="100" w:afterAutospacing="1" w:line="240" w:lineRule="auto"/>
        <w:rPr>
          <w:rFonts w:ascii="Open Sans" w:hAnsi="Open Sans" w:cs="Open Sans"/>
          <w:color w:val="222222"/>
        </w:rPr>
      </w:pPr>
      <w:hyperlink r:id="rId65" w:history="1">
        <w:r w:rsidR="00712FF9">
          <w:rPr>
            <w:rStyle w:val="Hyperlink"/>
            <w:rFonts w:ascii="Open Sans" w:hAnsi="Open Sans" w:cs="Open Sans"/>
            <w:color w:val="0076AE"/>
          </w:rPr>
          <w:t xml:space="preserve">High Court decision in </w:t>
        </w:r>
        <w:proofErr w:type="spellStart"/>
        <w:r w:rsidR="00712FF9">
          <w:rPr>
            <w:rStyle w:val="Hyperlink"/>
            <w:rFonts w:ascii="Open Sans" w:hAnsi="Open Sans" w:cs="Open Sans"/>
            <w:color w:val="0076AE"/>
          </w:rPr>
          <w:t>Sorby</w:t>
        </w:r>
        <w:proofErr w:type="spellEnd"/>
        <w:r w:rsidR="00712FF9">
          <w:rPr>
            <w:rStyle w:val="Hyperlink"/>
            <w:rFonts w:ascii="Open Sans" w:hAnsi="Open Sans" w:cs="Open Sans"/>
            <w:color w:val="0076AE"/>
          </w:rPr>
          <w:t xml:space="preserve"> v Commonwealth (on the privilege against self-incrimination)</w:t>
        </w:r>
      </w:hyperlink>
    </w:p>
    <w:p w14:paraId="18CD0167" w14:textId="77777777" w:rsidR="00B6379B" w:rsidRPr="00B6379B" w:rsidRDefault="00B6379B" w:rsidP="00B6379B">
      <w:pPr>
        <w:pStyle w:val="Heading1"/>
        <w:spacing w:before="0" w:after="600"/>
        <w:rPr>
          <w:rFonts w:ascii="Source Sans Pro" w:hAnsi="Source Sans Pro"/>
          <w:color w:val="auto"/>
          <w:sz w:val="48"/>
        </w:rPr>
      </w:pPr>
      <w:bookmarkStart w:id="93" w:name="_Toc131144681"/>
      <w:r w:rsidRPr="00B6379B">
        <w:rPr>
          <w:rFonts w:ascii="Source Sans Pro" w:hAnsi="Source Sans Pro"/>
          <w:color w:val="auto"/>
        </w:rPr>
        <w:t>The Privacy Act</w:t>
      </w:r>
      <w:bookmarkEnd w:id="93"/>
    </w:p>
    <w:p w14:paraId="0BBB7A21" w14:textId="60994F20" w:rsidR="00B6379B" w:rsidRDefault="00B6379B" w:rsidP="00B6379B">
      <w:pPr>
        <w:pStyle w:val="Heading2"/>
        <w:shd w:val="clear" w:color="auto" w:fill="FFFFFF"/>
        <w:spacing w:before="0" w:beforeAutospacing="0" w:after="0" w:afterAutospacing="0"/>
        <w:rPr>
          <w:rFonts w:ascii="Source Sans Pro" w:hAnsi="Source Sans Pro"/>
          <w:color w:val="002A3A"/>
        </w:rPr>
      </w:pPr>
      <w:bookmarkStart w:id="94" w:name="_Toc131144682"/>
      <w:r>
        <w:rPr>
          <w:rFonts w:ascii="Source Sans Pro" w:hAnsi="Source Sans Pro"/>
          <w:color w:val="002A3A"/>
        </w:rPr>
        <w:t>The </w:t>
      </w:r>
      <w:r>
        <w:rPr>
          <w:rStyle w:val="Emphasis"/>
          <w:rFonts w:ascii="Source Sans Pro" w:eastAsiaTheme="majorEastAsia" w:hAnsi="Source Sans Pro"/>
          <w:color w:val="002A3A"/>
        </w:rPr>
        <w:t>Privacy Act 1988</w:t>
      </w:r>
      <w:r>
        <w:rPr>
          <w:rFonts w:ascii="Source Sans Pro" w:hAnsi="Source Sans Pro"/>
          <w:color w:val="002A3A"/>
        </w:rPr>
        <w:t xml:space="preserve"> was introduced to promote and protect the privacy of individuals and to regulate how Australian </w:t>
      </w:r>
      <w:r>
        <w:rPr>
          <w:rFonts w:ascii="Source Sans Pro" w:hAnsi="Source Sans Pro"/>
          <w:color w:val="002A3A"/>
        </w:rPr>
        <w:lastRenderedPageBreak/>
        <w:t>Government agencies and organisations with an annual turnover of more than $3 million, and some other organisations, handle personal information.</w:t>
      </w:r>
      <w:bookmarkEnd w:id="94"/>
    </w:p>
    <w:p w14:paraId="747D6C78" w14:textId="77777777" w:rsidR="00B6379B" w:rsidRDefault="00B6379B" w:rsidP="00B6379B">
      <w:pPr>
        <w:pStyle w:val="Heading2"/>
        <w:shd w:val="clear" w:color="auto" w:fill="FFFFFF"/>
        <w:spacing w:before="0" w:beforeAutospacing="0" w:after="0" w:afterAutospacing="0"/>
        <w:rPr>
          <w:rFonts w:ascii="Source Sans Pro" w:hAnsi="Source Sans Pro"/>
          <w:color w:val="002A3A"/>
        </w:rPr>
      </w:pPr>
    </w:p>
    <w:p w14:paraId="3248EFD3" w14:textId="77777777" w:rsidR="00B6379B" w:rsidRDefault="00B6379B" w:rsidP="00B6379B">
      <w:pPr>
        <w:pStyle w:val="desc"/>
        <w:shd w:val="clear" w:color="auto" w:fill="FFFFFF"/>
        <w:spacing w:before="0" w:beforeAutospacing="0" w:after="0" w:afterAutospacing="0"/>
        <w:rPr>
          <w:rFonts w:ascii="Source Sans Pro" w:hAnsi="Source Sans Pro"/>
          <w:color w:val="002A3A"/>
          <w:sz w:val="27"/>
          <w:szCs w:val="27"/>
        </w:rPr>
      </w:pPr>
      <w:r>
        <w:rPr>
          <w:rFonts w:ascii="Source Sans Pro" w:hAnsi="Source Sans Pro"/>
          <w:color w:val="002A3A"/>
          <w:sz w:val="27"/>
          <w:szCs w:val="27"/>
        </w:rPr>
        <w:t>The Privacy Act includes 13 </w:t>
      </w:r>
      <w:hyperlink r:id="rId66" w:history="1">
        <w:r>
          <w:rPr>
            <w:rStyle w:val="Hyperlink"/>
            <w:rFonts w:ascii="Source Sans Pro" w:eastAsiaTheme="majorEastAsia" w:hAnsi="Source Sans Pro"/>
            <w:color w:val="00567D"/>
            <w:sz w:val="27"/>
            <w:szCs w:val="27"/>
          </w:rPr>
          <w:t>Australian Privacy Principles</w:t>
        </w:r>
      </w:hyperlink>
      <w:r>
        <w:rPr>
          <w:rFonts w:ascii="Source Sans Pro" w:hAnsi="Source Sans Pro"/>
          <w:color w:val="002A3A"/>
          <w:sz w:val="27"/>
          <w:szCs w:val="27"/>
        </w:rPr>
        <w:t> (APPs), which apply to some private sector organisations, as well as most Australian Government agencies. Such organisations and agencies are collectively known as ‘APP entities’. The Privacy Act also regulates the privacy component of the consumer credit reporting system, tax file numbers, and health and medical research.</w:t>
      </w:r>
    </w:p>
    <w:p w14:paraId="2862528C" w14:textId="5F0581A0" w:rsidR="00B6379B" w:rsidRDefault="00B6379B" w:rsidP="00B6379B"/>
    <w:p w14:paraId="23F99229" w14:textId="451F763E" w:rsidR="00537A41" w:rsidRDefault="00537A41" w:rsidP="003C40FD">
      <w:pPr>
        <w:pStyle w:val="Heading2"/>
      </w:pPr>
      <w:bookmarkStart w:id="95" w:name="_Toc131144683"/>
      <w:r>
        <w:t>Rule of Law Education Cent</w:t>
      </w:r>
      <w:r w:rsidR="003C40FD">
        <w:t>re</w:t>
      </w:r>
      <w:bookmarkEnd w:id="95"/>
    </w:p>
    <w:p w14:paraId="714ABCE0" w14:textId="487462BB" w:rsidR="00B6379B" w:rsidRDefault="00000000" w:rsidP="00B6379B">
      <w:hyperlink r:id="rId67" w:history="1">
        <w:r w:rsidR="00F55B8A" w:rsidRPr="008C3571">
          <w:rPr>
            <w:rStyle w:val="Hyperlink"/>
          </w:rPr>
          <w:t>https://www.ruleoflaw.org.au/priorities/checks-and-balances/</w:t>
        </w:r>
      </w:hyperlink>
    </w:p>
    <w:p w14:paraId="44AA05EF" w14:textId="77777777" w:rsidR="00F55B8A" w:rsidRDefault="00F55B8A" w:rsidP="00B6379B"/>
    <w:p w14:paraId="0AAC9D2E" w14:textId="6D659280" w:rsidR="00537A41" w:rsidRDefault="00537A41" w:rsidP="003C40FD">
      <w:pPr>
        <w:pStyle w:val="Heading2"/>
        <w:shd w:val="clear" w:color="auto" w:fill="FFFFFF"/>
        <w:spacing w:before="0" w:beforeAutospacing="0" w:after="0" w:afterAutospacing="0" w:line="312" w:lineRule="atLeast"/>
        <w:textAlignment w:val="baseline"/>
        <w:rPr>
          <w:rFonts w:ascii="Montserrat" w:hAnsi="Montserrat"/>
          <w:color w:val="1C3564"/>
          <w:spacing w:val="8"/>
          <w:sz w:val="45"/>
          <w:szCs w:val="45"/>
        </w:rPr>
      </w:pPr>
      <w:bookmarkStart w:id="96" w:name="_Toc131144684"/>
      <w:r>
        <w:rPr>
          <w:rFonts w:ascii="Montserrat" w:hAnsi="Montserrat"/>
          <w:color w:val="1C3564"/>
          <w:spacing w:val="8"/>
          <w:sz w:val="45"/>
          <w:szCs w:val="45"/>
        </w:rPr>
        <w:t>What are the specific checks and balances on each arm of government?</w:t>
      </w:r>
      <w:bookmarkEnd w:id="96"/>
    </w:p>
    <w:p w14:paraId="6CB2296A" w14:textId="77777777" w:rsidR="003C40FD" w:rsidRPr="003C40FD" w:rsidRDefault="003C40FD" w:rsidP="003C40FD"/>
    <w:p w14:paraId="1B169427" w14:textId="77777777" w:rsidR="00537A41" w:rsidRDefault="00537A41" w:rsidP="00537A41">
      <w:pPr>
        <w:pStyle w:val="Heading1"/>
        <w:shd w:val="clear" w:color="auto" w:fill="FFFFFF"/>
        <w:spacing w:before="0"/>
        <w:textAlignment w:val="baseline"/>
        <w:rPr>
          <w:rFonts w:ascii="Montserrat" w:hAnsi="Montserrat"/>
          <w:color w:val="1C3564"/>
          <w:spacing w:val="8"/>
          <w:sz w:val="41"/>
          <w:szCs w:val="41"/>
        </w:rPr>
      </w:pPr>
      <w:bookmarkStart w:id="97" w:name="_Toc131144685"/>
      <w:r>
        <w:rPr>
          <w:rStyle w:val="Strong"/>
          <w:rFonts w:ascii="inherit" w:hAnsi="inherit"/>
          <w:b/>
          <w:bCs w:val="0"/>
          <w:color w:val="1C3564"/>
          <w:spacing w:val="8"/>
          <w:sz w:val="41"/>
          <w:szCs w:val="41"/>
          <w:bdr w:val="none" w:sz="0" w:space="0" w:color="auto" w:frame="1"/>
        </w:rPr>
        <w:t>1. The Judiciary</w:t>
      </w:r>
      <w:bookmarkEnd w:id="97"/>
    </w:p>
    <w:p w14:paraId="4C3E569D" w14:textId="77777777"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The Judiciary includes judges and the courts. The role of the Judiciary is to interpret the law and to judge whether the law applies in individual cases.  When sworn into office, judges make the following oath:</w:t>
      </w:r>
    </w:p>
    <w:p w14:paraId="0E8D9297" w14:textId="77777777" w:rsidR="00537A41" w:rsidRDefault="00537A41" w:rsidP="00537A41">
      <w:pPr>
        <w:pStyle w:val="NormalWeb"/>
        <w:shd w:val="clear" w:color="auto" w:fill="FFFFFF"/>
        <w:spacing w:before="0" w:beforeAutospacing="0" w:after="0" w:afterAutospacing="0" w:line="408" w:lineRule="atLeast"/>
        <w:textAlignment w:val="baseline"/>
        <w:rPr>
          <w:rFonts w:ascii="inherit" w:hAnsi="inherit"/>
          <w:color w:val="282828"/>
          <w:sz w:val="23"/>
          <w:szCs w:val="23"/>
        </w:rPr>
      </w:pPr>
      <w:r>
        <w:rPr>
          <w:rStyle w:val="Emphasis"/>
          <w:rFonts w:ascii="inherit" w:eastAsiaTheme="majorEastAsia" w:hAnsi="inherit"/>
          <w:color w:val="282828"/>
          <w:sz w:val="23"/>
          <w:szCs w:val="23"/>
          <w:bdr w:val="none" w:sz="0" w:space="0" w:color="auto" w:frame="1"/>
        </w:rPr>
        <w:t>to do right to all manner of people </w:t>
      </w:r>
      <w:r>
        <w:rPr>
          <w:rStyle w:val="Strong"/>
          <w:rFonts w:ascii="inherit" w:eastAsiaTheme="majorEastAsia" w:hAnsi="inherit"/>
          <w:i/>
          <w:iCs/>
          <w:color w:val="282828"/>
          <w:sz w:val="23"/>
          <w:szCs w:val="23"/>
          <w:bdr w:val="none" w:sz="0" w:space="0" w:color="auto" w:frame="1"/>
        </w:rPr>
        <w:t>according to law</w:t>
      </w:r>
      <w:r>
        <w:rPr>
          <w:rStyle w:val="Emphasis"/>
          <w:rFonts w:ascii="inherit" w:eastAsiaTheme="majorEastAsia" w:hAnsi="inherit"/>
          <w:color w:val="282828"/>
          <w:sz w:val="23"/>
          <w:szCs w:val="23"/>
          <w:bdr w:val="none" w:sz="0" w:space="0" w:color="auto" w:frame="1"/>
        </w:rPr>
        <w:t>, without fear or favour, affection or ill will</w:t>
      </w:r>
    </w:p>
    <w:p w14:paraId="683D5E41"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Firstly, the Judiciary administers justices to </w:t>
      </w:r>
      <w:r>
        <w:rPr>
          <w:rStyle w:val="Emphasis"/>
          <w:rFonts w:ascii="inherit" w:eastAsiaTheme="majorEastAsia" w:hAnsi="inherit"/>
          <w:color w:val="282828"/>
          <w:sz w:val="23"/>
          <w:szCs w:val="23"/>
          <w:bdr w:val="none" w:sz="0" w:space="0" w:color="auto" w:frame="1"/>
        </w:rPr>
        <w:t>all manner of people </w:t>
      </w:r>
      <w:r>
        <w:rPr>
          <w:rFonts w:ascii="Montserrat" w:hAnsi="Montserrat"/>
          <w:color w:val="282828"/>
          <w:sz w:val="23"/>
          <w:szCs w:val="23"/>
        </w:rPr>
        <w:t>and ensures everyone is treated equally under the law, regardless of their status or rank. They administer justice fairly and openly. The Courts are </w:t>
      </w:r>
      <w:r>
        <w:rPr>
          <w:rStyle w:val="Strong"/>
          <w:rFonts w:ascii="inherit" w:eastAsiaTheme="majorEastAsia" w:hAnsi="inherit"/>
          <w:color w:val="282828"/>
          <w:sz w:val="23"/>
          <w:szCs w:val="23"/>
          <w:bdr w:val="none" w:sz="0" w:space="0" w:color="auto" w:frame="1"/>
        </w:rPr>
        <w:t>impartial</w:t>
      </w:r>
      <w:r>
        <w:rPr>
          <w:rFonts w:ascii="Montserrat" w:hAnsi="Montserrat"/>
          <w:color w:val="282828"/>
          <w:sz w:val="23"/>
          <w:szCs w:val="23"/>
        </w:rPr>
        <w:t>. They make decisions </w:t>
      </w:r>
      <w:r>
        <w:rPr>
          <w:rStyle w:val="Emphasis"/>
          <w:rFonts w:ascii="inherit" w:eastAsiaTheme="majorEastAsia" w:hAnsi="inherit"/>
          <w:color w:val="282828"/>
          <w:sz w:val="23"/>
          <w:szCs w:val="23"/>
          <w:bdr w:val="none" w:sz="0" w:space="0" w:color="auto" w:frame="1"/>
        </w:rPr>
        <w:t>according to the law,</w:t>
      </w:r>
      <w:r>
        <w:rPr>
          <w:rFonts w:ascii="Montserrat" w:hAnsi="Montserrat"/>
          <w:color w:val="282828"/>
          <w:sz w:val="23"/>
          <w:szCs w:val="23"/>
        </w:rPr>
        <w:t xml:space="preserve"> rather than external political pressures, personal, moral, or political views.   As outlined by former Australian High Court Justice </w:t>
      </w:r>
      <w:proofErr w:type="spellStart"/>
      <w:r>
        <w:rPr>
          <w:rFonts w:ascii="Montserrat" w:hAnsi="Montserrat"/>
          <w:color w:val="282828"/>
          <w:sz w:val="23"/>
          <w:szCs w:val="23"/>
        </w:rPr>
        <w:t>Heydon</w:t>
      </w:r>
      <w:proofErr w:type="spellEnd"/>
      <w:r>
        <w:rPr>
          <w:rFonts w:ascii="Montserrat" w:hAnsi="Montserrat"/>
          <w:color w:val="282828"/>
          <w:sz w:val="23"/>
          <w:szCs w:val="23"/>
        </w:rPr>
        <w:t xml:space="preserve"> the Judiciary is:</w:t>
      </w:r>
    </w:p>
    <w:p w14:paraId="1555D4AF" w14:textId="77777777" w:rsidR="00537A41" w:rsidRDefault="00537A41" w:rsidP="00537A41">
      <w:pPr>
        <w:pStyle w:val="NormalWeb"/>
        <w:shd w:val="clear" w:color="auto" w:fill="FFFFFF"/>
        <w:spacing w:before="0" w:beforeAutospacing="0" w:after="0" w:afterAutospacing="0" w:line="408" w:lineRule="atLeast"/>
        <w:textAlignment w:val="baseline"/>
        <w:rPr>
          <w:rFonts w:ascii="inherit" w:hAnsi="inherit"/>
          <w:color w:val="282828"/>
          <w:sz w:val="23"/>
          <w:szCs w:val="23"/>
        </w:rPr>
      </w:pPr>
      <w:r>
        <w:rPr>
          <w:rStyle w:val="Emphasis"/>
          <w:rFonts w:ascii="inherit" w:eastAsiaTheme="majorEastAsia" w:hAnsi="inherit"/>
          <w:color w:val="282828"/>
          <w:sz w:val="23"/>
          <w:szCs w:val="23"/>
          <w:bdr w:val="none" w:sz="0" w:space="0" w:color="auto" w:frame="1"/>
        </w:rPr>
        <w:t>an independent arbiter not affected by self-interest or partisan duty, applying a set of principles, rules and procedures having objective existence and operating in paramountcy to any other organ of state and to any other source of power, and possessing a measure of independence from the wrath of disgruntled governments or other groups  </w:t>
      </w:r>
    </w:p>
    <w:p w14:paraId="18CCF4B9"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lastRenderedPageBreak/>
        <w:t>The Courts are </w:t>
      </w:r>
      <w:r>
        <w:rPr>
          <w:rStyle w:val="Strong"/>
          <w:rFonts w:ascii="inherit" w:eastAsiaTheme="majorEastAsia" w:hAnsi="inherit"/>
          <w:color w:val="282828"/>
          <w:sz w:val="23"/>
          <w:szCs w:val="23"/>
          <w:bdr w:val="none" w:sz="0" w:space="0" w:color="auto" w:frame="1"/>
        </w:rPr>
        <w:t>independent</w:t>
      </w:r>
      <w:r>
        <w:rPr>
          <w:rFonts w:ascii="Montserrat" w:hAnsi="Montserrat"/>
          <w:color w:val="282828"/>
          <w:sz w:val="23"/>
          <w:szCs w:val="23"/>
        </w:rPr>
        <w:t> from the Executive and Legislature.  The Judiciary has the power to strike down laws made by the Legislature and declare actions of the Executive unlawful. Judicial review ensures the other arms of Government are accountable under the law and are restrained from enacting laws that may be unconstitutional (and therefore invalid and unenforceable) and behaving unlawfully.</w:t>
      </w:r>
      <w:r>
        <w:rPr>
          <w:rStyle w:val="Strong"/>
          <w:rFonts w:ascii="inherit" w:eastAsiaTheme="majorEastAsia" w:hAnsi="inherit"/>
          <w:color w:val="282828"/>
          <w:sz w:val="23"/>
          <w:szCs w:val="23"/>
          <w:bdr w:val="none" w:sz="0" w:space="0" w:color="auto" w:frame="1"/>
        </w:rPr>
        <w:t> This is a highly important check on the power of the Government because it provides a legal process in the courts for any individual, not matter their status or rank, to challenge the decisions of the Government.</w:t>
      </w:r>
    </w:p>
    <w:p w14:paraId="09D52B10"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Australian </w:t>
      </w:r>
      <w:r>
        <w:rPr>
          <w:rStyle w:val="Strong"/>
          <w:rFonts w:ascii="inherit" w:eastAsiaTheme="majorEastAsia" w:hAnsi="inherit"/>
          <w:color w:val="282828"/>
          <w:sz w:val="23"/>
          <w:szCs w:val="23"/>
          <w:bdr w:val="none" w:sz="0" w:space="0" w:color="auto" w:frame="1"/>
        </w:rPr>
        <w:t>Constitution</w:t>
      </w:r>
      <w:r>
        <w:rPr>
          <w:rFonts w:ascii="Montserrat" w:hAnsi="Montserrat"/>
          <w:color w:val="282828"/>
          <w:sz w:val="23"/>
          <w:szCs w:val="23"/>
        </w:rPr>
        <w:t> provides a check on the power of the Executive and protects the independence of the Judiciary from political interference by outlining the tenure and remuneration of the Judiciary. This ensures a judge cannot be sacked (or pay reduced) if they make a decision that Government or those in power dislikes.</w:t>
      </w:r>
    </w:p>
    <w:p w14:paraId="51E1ADB9" w14:textId="77777777"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To ensure the judiciary does not exceed it powers, there is a process of appeal to higher courts. The High Court of Australia has the power to overrule the decisions of all lower Courts.</w:t>
      </w:r>
    </w:p>
    <w:p w14:paraId="798A8E64" w14:textId="4955386E" w:rsidR="00537A41" w:rsidRDefault="00537A41"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w:t>
      </w:r>
      <w:r>
        <w:rPr>
          <w:rStyle w:val="Strong"/>
          <w:rFonts w:ascii="inherit" w:eastAsiaTheme="majorEastAsia" w:hAnsi="inherit"/>
          <w:color w:val="282828"/>
          <w:sz w:val="23"/>
          <w:szCs w:val="23"/>
          <w:bdr w:val="none" w:sz="0" w:space="0" w:color="auto" w:frame="1"/>
        </w:rPr>
        <w:t>Legislature</w:t>
      </w:r>
      <w:r>
        <w:rPr>
          <w:rFonts w:ascii="Montserrat" w:hAnsi="Montserrat"/>
          <w:color w:val="282828"/>
          <w:sz w:val="23"/>
          <w:szCs w:val="23"/>
        </w:rPr>
        <w:t> can override a courts interpretation of any ordinary law by passing or amending the law.  This is an important check on the powers of the Judiciary by ensuring the power to make laws is held by elected representatives in Parliament (the Legislature).</w:t>
      </w:r>
    </w:p>
    <w:p w14:paraId="6562A418" w14:textId="77777777" w:rsidR="00F55B8A" w:rsidRDefault="00F55B8A"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p>
    <w:p w14:paraId="53857874" w14:textId="77777777" w:rsidR="00537A41" w:rsidRDefault="00537A41" w:rsidP="00537A41">
      <w:pPr>
        <w:pStyle w:val="Heading1"/>
        <w:shd w:val="clear" w:color="auto" w:fill="FFFFFF"/>
        <w:spacing w:before="0"/>
        <w:textAlignment w:val="baseline"/>
        <w:rPr>
          <w:rFonts w:ascii="Montserrat" w:hAnsi="Montserrat"/>
          <w:color w:val="1C3564"/>
          <w:spacing w:val="8"/>
          <w:sz w:val="41"/>
          <w:szCs w:val="41"/>
        </w:rPr>
      </w:pPr>
      <w:bookmarkStart w:id="98" w:name="_Toc131144686"/>
      <w:r>
        <w:rPr>
          <w:rStyle w:val="Strong"/>
          <w:rFonts w:ascii="inherit" w:hAnsi="inherit"/>
          <w:b/>
          <w:bCs w:val="0"/>
          <w:color w:val="1C3564"/>
          <w:spacing w:val="8"/>
          <w:sz w:val="41"/>
          <w:szCs w:val="41"/>
          <w:bdr w:val="none" w:sz="0" w:space="0" w:color="auto" w:frame="1"/>
        </w:rPr>
        <w:t>2. The Executive</w:t>
      </w:r>
      <w:bookmarkEnd w:id="98"/>
    </w:p>
    <w:p w14:paraId="426AEA29"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The Executive includes ministers and the government departments, agencies, and statutory bodies they are responsible for. The role of the Executive is to </w:t>
      </w:r>
      <w:r>
        <w:rPr>
          <w:rStyle w:val="Strong"/>
          <w:rFonts w:ascii="inherit" w:eastAsiaTheme="majorEastAsia" w:hAnsi="inherit"/>
          <w:color w:val="282828"/>
          <w:sz w:val="23"/>
          <w:szCs w:val="23"/>
          <w:bdr w:val="none" w:sz="0" w:space="0" w:color="auto" w:frame="1"/>
        </w:rPr>
        <w:t>propose (but not pass laws) and then implement laws passed</w:t>
      </w:r>
      <w:r>
        <w:rPr>
          <w:rFonts w:ascii="Montserrat" w:hAnsi="Montserrat"/>
          <w:color w:val="282828"/>
          <w:sz w:val="23"/>
          <w:szCs w:val="23"/>
        </w:rPr>
        <w:t> by the Legislature into operation. It has the power to oversee Government Agencies and Departments and deal with social, economic, or environmental issues as they arise.</w:t>
      </w:r>
    </w:p>
    <w:p w14:paraId="1AA5EF94" w14:textId="77777777"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As the Executive has power to carry out and enforce the law it has the greatest potential of all arms of government for corruption and for exceeding their power. Checks therefore must ensure the Executive acts in accordance with the law and is responsible to Parliament for their actions.</w:t>
      </w:r>
    </w:p>
    <w:p w14:paraId="6AE4BB95"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lastRenderedPageBreak/>
        <w:t>The</w:t>
      </w:r>
      <w:r>
        <w:rPr>
          <w:rStyle w:val="Strong"/>
          <w:rFonts w:ascii="inherit" w:eastAsiaTheme="majorEastAsia" w:hAnsi="inherit"/>
          <w:color w:val="282828"/>
          <w:sz w:val="23"/>
          <w:szCs w:val="23"/>
          <w:bdr w:val="none" w:sz="0" w:space="0" w:color="auto" w:frame="1"/>
        </w:rPr>
        <w:t> Judiciary</w:t>
      </w:r>
      <w:r>
        <w:rPr>
          <w:rFonts w:ascii="Montserrat" w:hAnsi="Montserrat"/>
          <w:color w:val="282828"/>
          <w:sz w:val="23"/>
          <w:szCs w:val="23"/>
        </w:rPr>
        <w:t xml:space="preserve"> is a critical check on the overuse and misuse of power by the Executive. The Executive is the </w:t>
      </w:r>
      <w:proofErr w:type="spellStart"/>
      <w:r>
        <w:rPr>
          <w:rFonts w:ascii="Montserrat" w:hAnsi="Montserrat"/>
          <w:color w:val="282828"/>
          <w:sz w:val="23"/>
          <w:szCs w:val="23"/>
        </w:rPr>
        <w:t>singly</w:t>
      </w:r>
      <w:proofErr w:type="spellEnd"/>
      <w:r>
        <w:rPr>
          <w:rFonts w:ascii="Montserrat" w:hAnsi="Montserrat"/>
          <w:color w:val="282828"/>
          <w:sz w:val="23"/>
          <w:szCs w:val="23"/>
        </w:rPr>
        <w:t xml:space="preserve"> most frequent party in Court proceedings and the Judiciary has the power to determine whether the actions of the Executive are lawful.</w:t>
      </w:r>
    </w:p>
    <w:p w14:paraId="63FD3385" w14:textId="77777777" w:rsidR="00537A41" w:rsidRDefault="00537A41" w:rsidP="00537A4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rPr>
        <w:t>Another important check on the power of the Executive is </w:t>
      </w:r>
      <w:r>
        <w:rPr>
          <w:rStyle w:val="Strong"/>
          <w:rFonts w:ascii="inherit" w:eastAsiaTheme="majorEastAsia" w:hAnsi="inherit"/>
          <w:color w:val="282828"/>
          <w:sz w:val="23"/>
          <w:szCs w:val="23"/>
          <w:bdr w:val="none" w:sz="0" w:space="0" w:color="auto" w:frame="1"/>
        </w:rPr>
        <w:t>scrutiny by the Legislature and Parliamentary Committees</w:t>
      </w:r>
      <w:r>
        <w:rPr>
          <w:rFonts w:ascii="Montserrat" w:hAnsi="Montserrat"/>
          <w:color w:val="282828"/>
          <w:sz w:val="23"/>
          <w:szCs w:val="23"/>
        </w:rPr>
        <w:t> who have the ability to ask the Executive questions in Parliament and to disallow laws passed by the Executive. The Executive is also held accountable by the</w:t>
      </w:r>
      <w:r>
        <w:rPr>
          <w:rStyle w:val="Strong"/>
          <w:rFonts w:ascii="inherit" w:eastAsiaTheme="majorEastAsia" w:hAnsi="inherit"/>
          <w:color w:val="282828"/>
          <w:sz w:val="23"/>
          <w:szCs w:val="23"/>
          <w:bdr w:val="none" w:sz="0" w:space="0" w:color="auto" w:frame="1"/>
        </w:rPr>
        <w:t> Shadow Cabinet and the ‘Opposition’</w:t>
      </w:r>
      <w:r>
        <w:rPr>
          <w:rFonts w:ascii="Montserrat" w:hAnsi="Montserrat"/>
          <w:color w:val="282828"/>
          <w:sz w:val="23"/>
          <w:szCs w:val="23"/>
        </w:rPr>
        <w:t> who are frequently critical of Government policy and legislation.</w:t>
      </w:r>
    </w:p>
    <w:p w14:paraId="03AE60D8" w14:textId="558CB15F" w:rsidR="00537A41" w:rsidRDefault="00537A41" w:rsidP="00537A41">
      <w:pPr>
        <w:pStyle w:val="NormalWeb"/>
        <w:shd w:val="clear" w:color="auto" w:fill="FFFFFF"/>
        <w:spacing w:before="0" w:beforeAutospacing="0" w:after="384" w:afterAutospacing="0" w:line="408" w:lineRule="atLeast"/>
        <w:textAlignment w:val="baseline"/>
        <w:rPr>
          <w:rFonts w:ascii="Montserrat" w:hAnsi="Montserrat"/>
          <w:color w:val="282828"/>
          <w:sz w:val="23"/>
          <w:szCs w:val="23"/>
        </w:rPr>
      </w:pPr>
      <w:r>
        <w:rPr>
          <w:rFonts w:ascii="Montserrat" w:hAnsi="Montserrat"/>
          <w:color w:val="282828"/>
          <w:sz w:val="23"/>
          <w:szCs w:val="23"/>
        </w:rPr>
        <w:t>It is important to note that there is only partial separation of powers between the Executive and Legislature in Australia as members of the Executive are drawn from Parliament.</w:t>
      </w:r>
    </w:p>
    <w:p w14:paraId="5B6DE372" w14:textId="77777777" w:rsidR="00925E21" w:rsidRDefault="00925E21" w:rsidP="00925E21">
      <w:pPr>
        <w:pStyle w:val="Heading1"/>
        <w:shd w:val="clear" w:color="auto" w:fill="FFFFFF"/>
        <w:spacing w:before="0"/>
        <w:textAlignment w:val="baseline"/>
        <w:rPr>
          <w:rFonts w:ascii="Montserrat" w:hAnsi="Montserrat"/>
          <w:color w:val="1C3564"/>
          <w:spacing w:val="8"/>
          <w:sz w:val="41"/>
          <w:szCs w:val="41"/>
        </w:rPr>
      </w:pPr>
      <w:bookmarkStart w:id="99" w:name="_Toc131144687"/>
      <w:r>
        <w:rPr>
          <w:rFonts w:ascii="Montserrat" w:hAnsi="Montserrat"/>
          <w:color w:val="1C3564"/>
          <w:spacing w:val="8"/>
          <w:sz w:val="41"/>
          <w:szCs w:val="41"/>
        </w:rPr>
        <w:t>Citizens and the media</w:t>
      </w:r>
      <w:bookmarkEnd w:id="99"/>
    </w:p>
    <w:p w14:paraId="21BB7B9C"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Democracies not only require institutional checks and balances, but they also require scrutiny from the public and media organisations. </w:t>
      </w:r>
    </w:p>
    <w:p w14:paraId="3081D86E"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This in turn requires</w:t>
      </w:r>
      <w:r>
        <w:rPr>
          <w:rStyle w:val="Strong"/>
          <w:rFonts w:ascii="inherit" w:eastAsiaTheme="majorEastAsia" w:hAnsi="inherit"/>
          <w:color w:val="282828"/>
          <w:sz w:val="23"/>
          <w:szCs w:val="23"/>
          <w:bdr w:val="none" w:sz="0" w:space="0" w:color="auto" w:frame="1"/>
        </w:rPr>
        <w:t> freedom of the press, freedom of association and freedom of speech.</w:t>
      </w:r>
    </w:p>
    <w:p w14:paraId="0058B5C1"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 xml:space="preserve">In the words of the Late </w:t>
      </w:r>
      <w:proofErr w:type="spellStart"/>
      <w:r>
        <w:rPr>
          <w:rFonts w:ascii="Montserrat" w:hAnsi="Montserrat"/>
          <w:color w:val="282828"/>
          <w:sz w:val="23"/>
          <w:szCs w:val="23"/>
          <w:bdr w:val="none" w:sz="0" w:space="0" w:color="auto" w:frame="1"/>
        </w:rPr>
        <w:t>Honarable</w:t>
      </w:r>
      <w:proofErr w:type="spellEnd"/>
      <w:r>
        <w:rPr>
          <w:rFonts w:ascii="Montserrat" w:hAnsi="Montserrat"/>
          <w:color w:val="282828"/>
          <w:sz w:val="23"/>
          <w:szCs w:val="23"/>
          <w:bdr w:val="none" w:sz="0" w:space="0" w:color="auto" w:frame="1"/>
        </w:rPr>
        <w:t xml:space="preserve"> </w:t>
      </w:r>
      <w:proofErr w:type="spellStart"/>
      <w:r>
        <w:rPr>
          <w:rFonts w:ascii="Montserrat" w:hAnsi="Montserrat"/>
          <w:color w:val="282828"/>
          <w:sz w:val="23"/>
          <w:szCs w:val="23"/>
          <w:bdr w:val="none" w:sz="0" w:space="0" w:color="auto" w:frame="1"/>
        </w:rPr>
        <w:t>Asche</w:t>
      </w:r>
      <w:proofErr w:type="spellEnd"/>
      <w:r>
        <w:rPr>
          <w:rFonts w:ascii="Montserrat" w:hAnsi="Montserrat"/>
          <w:color w:val="282828"/>
          <w:sz w:val="23"/>
          <w:szCs w:val="23"/>
          <w:bdr w:val="none" w:sz="0" w:space="0" w:color="auto" w:frame="1"/>
        </w:rPr>
        <w:t>:</w:t>
      </w:r>
    </w:p>
    <w:p w14:paraId="66414CA8" w14:textId="77777777" w:rsidR="00925E21" w:rsidRDefault="00925E21" w:rsidP="00925E21">
      <w:pPr>
        <w:pStyle w:val="NormalWeb"/>
        <w:shd w:val="clear" w:color="auto" w:fill="FFFFFF"/>
        <w:spacing w:before="0" w:beforeAutospacing="0" w:after="0" w:afterAutospacing="0" w:line="408" w:lineRule="atLeast"/>
        <w:textAlignment w:val="baseline"/>
        <w:rPr>
          <w:rFonts w:ascii="inherit" w:hAnsi="inherit"/>
          <w:color w:val="282828"/>
          <w:sz w:val="23"/>
          <w:szCs w:val="23"/>
        </w:rPr>
      </w:pPr>
      <w:r>
        <w:rPr>
          <w:rFonts w:ascii="inherit" w:hAnsi="inherit"/>
          <w:color w:val="282828"/>
          <w:sz w:val="23"/>
          <w:szCs w:val="23"/>
          <w:bdr w:val="none" w:sz="0" w:space="0" w:color="auto" w:frame="1"/>
        </w:rPr>
        <w:t>one of the greatest checks and balances of parliamentary democracy lies in the Australian citizen. Our greatest protect against tyranny lies in the fact that we are a nation of sardonic realists</w:t>
      </w:r>
    </w:p>
    <w:p w14:paraId="7226B4ED" w14:textId="77777777" w:rsidR="00925E21" w:rsidRDefault="00925E21" w:rsidP="00925E21">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r>
        <w:rPr>
          <w:rFonts w:ascii="Montserrat" w:hAnsi="Montserrat"/>
          <w:color w:val="282828"/>
          <w:sz w:val="23"/>
          <w:szCs w:val="23"/>
          <w:bdr w:val="none" w:sz="0" w:space="0" w:color="auto" w:frame="1"/>
        </w:rPr>
        <w:t>Citizens are a check on the Legislature.  Members of Parliament (the legislature) are voted in to power to represent the citizens in their electorate.  Citizens hold their representative to account by voting (or not voting) them into parliament. </w:t>
      </w:r>
      <w:r>
        <w:rPr>
          <w:rStyle w:val="Strong"/>
          <w:rFonts w:ascii="inherit" w:eastAsiaTheme="majorEastAsia" w:hAnsi="inherit"/>
          <w:color w:val="282828"/>
          <w:sz w:val="23"/>
          <w:szCs w:val="23"/>
          <w:bdr w:val="none" w:sz="0" w:space="0" w:color="auto" w:frame="1"/>
        </w:rPr>
        <w:t> Regular and fair elections</w:t>
      </w:r>
      <w:r>
        <w:rPr>
          <w:rFonts w:ascii="Montserrat" w:hAnsi="Montserrat"/>
          <w:color w:val="282828"/>
          <w:sz w:val="23"/>
          <w:szCs w:val="23"/>
          <w:bdr w:val="none" w:sz="0" w:space="0" w:color="auto" w:frame="1"/>
        </w:rPr>
        <w:t> enable citizens to hold their representative to account. </w:t>
      </w:r>
    </w:p>
    <w:p w14:paraId="117D7975" w14:textId="01771EDD" w:rsidR="00925E21" w:rsidRDefault="00925E21"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r>
        <w:rPr>
          <w:rFonts w:ascii="Montserrat" w:hAnsi="Montserrat"/>
          <w:color w:val="282828"/>
          <w:sz w:val="23"/>
          <w:szCs w:val="23"/>
          <w:bdr w:val="none" w:sz="0" w:space="0" w:color="auto" w:frame="1"/>
        </w:rPr>
        <w:t>Citizens are also a check on the Executive.  Through </w:t>
      </w:r>
      <w:r>
        <w:rPr>
          <w:rStyle w:val="Strong"/>
          <w:rFonts w:ascii="inherit" w:eastAsiaTheme="majorEastAsia" w:hAnsi="inherit"/>
          <w:color w:val="282828"/>
          <w:sz w:val="23"/>
          <w:szCs w:val="23"/>
          <w:bdr w:val="none" w:sz="0" w:space="0" w:color="auto" w:frame="1"/>
        </w:rPr>
        <w:t>petitions, protests, consultations, submissions</w:t>
      </w:r>
      <w:r>
        <w:rPr>
          <w:rFonts w:ascii="Montserrat" w:hAnsi="Montserrat"/>
          <w:color w:val="282828"/>
          <w:sz w:val="23"/>
          <w:szCs w:val="23"/>
          <w:bdr w:val="none" w:sz="0" w:space="0" w:color="auto" w:frame="1"/>
        </w:rPr>
        <w:t> </w:t>
      </w:r>
      <w:r>
        <w:rPr>
          <w:rStyle w:val="Strong"/>
          <w:rFonts w:ascii="inherit" w:eastAsiaTheme="majorEastAsia" w:hAnsi="inherit"/>
          <w:color w:val="282828"/>
          <w:sz w:val="23"/>
          <w:szCs w:val="23"/>
          <w:bdr w:val="none" w:sz="0" w:space="0" w:color="auto" w:frame="1"/>
        </w:rPr>
        <w:t>and letters</w:t>
      </w:r>
      <w:r>
        <w:rPr>
          <w:rFonts w:ascii="Montserrat" w:hAnsi="Montserrat"/>
          <w:color w:val="282828"/>
          <w:sz w:val="23"/>
          <w:szCs w:val="23"/>
          <w:bdr w:val="none" w:sz="0" w:space="0" w:color="auto" w:frame="1"/>
        </w:rPr>
        <w:t> to their elected representatives, citizens are a check on the power of those who implement the law.</w:t>
      </w:r>
    </w:p>
    <w:p w14:paraId="51E7C060" w14:textId="42CC16A4"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2A8D68DF" w14:textId="0DFCFDF2"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3DA6D29A" w14:textId="43EA45CC"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0D847383" w14:textId="2D50183F"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147A15BE" w14:textId="2AA0E780"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bdr w:val="none" w:sz="0" w:space="0" w:color="auto" w:frame="1"/>
        </w:rPr>
      </w:pPr>
    </w:p>
    <w:p w14:paraId="79DDEC4B" w14:textId="77777777" w:rsidR="00014E60" w:rsidRDefault="00014E60" w:rsidP="00F55B8A">
      <w:pPr>
        <w:pStyle w:val="NormalWeb"/>
        <w:shd w:val="clear" w:color="auto" w:fill="FFFFFF"/>
        <w:spacing w:before="0" w:beforeAutospacing="0" w:after="0" w:afterAutospacing="0" w:line="408" w:lineRule="atLeast"/>
        <w:textAlignment w:val="baseline"/>
        <w:rPr>
          <w:rFonts w:ascii="Montserrat" w:hAnsi="Montserrat"/>
          <w:color w:val="282828"/>
          <w:sz w:val="23"/>
          <w:szCs w:val="23"/>
        </w:rPr>
      </w:pPr>
    </w:p>
    <w:p w14:paraId="47249E7F" w14:textId="52B4A4C0" w:rsidR="00B6379B" w:rsidRDefault="00537A41" w:rsidP="00B6379B">
      <w:r w:rsidRPr="00537A41">
        <w:rPr>
          <w:noProof/>
        </w:rPr>
        <w:drawing>
          <wp:inline distT="0" distB="0" distL="0" distR="0" wp14:anchorId="772141AC" wp14:editId="51E16137">
            <wp:extent cx="2695951" cy="2353003"/>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95951" cy="2353003"/>
                    </a:xfrm>
                    <a:prstGeom prst="rect">
                      <a:avLst/>
                    </a:prstGeom>
                  </pic:spPr>
                </pic:pic>
              </a:graphicData>
            </a:graphic>
          </wp:inline>
        </w:drawing>
      </w:r>
    </w:p>
    <w:p w14:paraId="5984FB00" w14:textId="4E5B4D07" w:rsidR="00537A41" w:rsidRDefault="00000000" w:rsidP="00B6379B">
      <w:hyperlink r:id="rId69" w:history="1">
        <w:r w:rsidR="00537A41" w:rsidRPr="008C3571">
          <w:rPr>
            <w:rStyle w:val="Hyperlink"/>
          </w:rPr>
          <w:t>https://www.ruleoflaw.org.au/victorian-pandemic-management-bill/</w:t>
        </w:r>
      </w:hyperlink>
    </w:p>
    <w:p w14:paraId="1FA6DB6A" w14:textId="59ED8DC4" w:rsidR="00537A41" w:rsidRDefault="00537A41" w:rsidP="00B6379B"/>
    <w:p w14:paraId="09648527" w14:textId="4A4FDA0A" w:rsidR="00537A41" w:rsidRDefault="00537A41" w:rsidP="00B6379B">
      <w:r w:rsidRPr="00537A41">
        <w:rPr>
          <w:noProof/>
        </w:rPr>
        <w:drawing>
          <wp:inline distT="0" distB="0" distL="0" distR="0" wp14:anchorId="746C7F8E" wp14:editId="3A8F92B7">
            <wp:extent cx="2223655" cy="1273476"/>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43677" cy="1284943"/>
                    </a:xfrm>
                    <a:prstGeom prst="rect">
                      <a:avLst/>
                    </a:prstGeom>
                  </pic:spPr>
                </pic:pic>
              </a:graphicData>
            </a:graphic>
          </wp:inline>
        </w:drawing>
      </w:r>
    </w:p>
    <w:p w14:paraId="6F047E77" w14:textId="143E23DC" w:rsidR="00537A41" w:rsidRDefault="00000000" w:rsidP="00B6379B">
      <w:hyperlink r:id="rId71" w:history="1">
        <w:r w:rsidR="00537A41" w:rsidRPr="008C3571">
          <w:rPr>
            <w:rStyle w:val="Hyperlink"/>
          </w:rPr>
          <w:t>https://www.ruleoflaw.org.au/did-democracy-die-during-the-pandemic/</w:t>
        </w:r>
      </w:hyperlink>
    </w:p>
    <w:p w14:paraId="7A0E56E8" w14:textId="77777777" w:rsidR="00B6379B" w:rsidRDefault="00B6379B" w:rsidP="00B6379B"/>
    <w:p w14:paraId="43145DF3" w14:textId="77777777" w:rsidR="00AA6C32" w:rsidRPr="00F55B8A" w:rsidRDefault="00000000" w:rsidP="00F55B8A">
      <w:pPr>
        <w:pStyle w:val="Heading2"/>
        <w:rPr>
          <w:rFonts w:cs="Arial"/>
          <w:color w:val="002060"/>
          <w:kern w:val="36"/>
          <w:szCs w:val="32"/>
        </w:rPr>
      </w:pPr>
      <w:hyperlink r:id="rId72" w:history="1">
        <w:bookmarkStart w:id="100" w:name="_Toc130372870"/>
        <w:bookmarkStart w:id="101" w:name="_Toc131144688"/>
        <w:r w:rsidR="00AA6C32" w:rsidRPr="00F55B8A">
          <w:rPr>
            <w:rStyle w:val="Hyperlink"/>
            <w:rFonts w:cs="Arial"/>
            <w:color w:val="002060"/>
            <w:kern w:val="36"/>
            <w:szCs w:val="32"/>
          </w:rPr>
          <w:t xml:space="preserve">Worldwide COVID </w:t>
        </w:r>
        <w:r w:rsidR="00AA6C32" w:rsidRPr="00F55B8A">
          <w:rPr>
            <w:rStyle w:val="Hyperlink"/>
            <w:rFonts w:cs="Arial"/>
            <w:color w:val="002060"/>
            <w:szCs w:val="32"/>
            <w:u w:val="none"/>
          </w:rPr>
          <w:t>litigation</w:t>
        </w:r>
        <w:r w:rsidR="00AA6C32" w:rsidRPr="00F55B8A">
          <w:rPr>
            <w:rStyle w:val="Hyperlink"/>
            <w:rFonts w:cs="Arial"/>
            <w:color w:val="002060"/>
            <w:kern w:val="36"/>
            <w:szCs w:val="32"/>
          </w:rPr>
          <w:t xml:space="preserve"> lawyer directory</w:t>
        </w:r>
        <w:bookmarkEnd w:id="100"/>
        <w:bookmarkEnd w:id="101"/>
      </w:hyperlink>
      <w:r w:rsidR="00AA6C32" w:rsidRPr="00F55B8A">
        <w:rPr>
          <w:rFonts w:cs="Arial"/>
          <w:color w:val="002060"/>
          <w:kern w:val="36"/>
          <w:szCs w:val="32"/>
        </w:rPr>
        <w:t xml:space="preserve"> </w:t>
      </w:r>
    </w:p>
    <w:p w14:paraId="7F650B8A" w14:textId="77777777" w:rsidR="00AA6C32" w:rsidRPr="003360F8" w:rsidRDefault="00000000" w:rsidP="00AA6C32">
      <w:pPr>
        <w:rPr>
          <w:rFonts w:ascii="Times New Roman" w:eastAsia="Times New Roman" w:hAnsi="Times New Roman" w:cs="Times New Roman"/>
          <w:b/>
          <w:bCs/>
          <w:color w:val="404040"/>
          <w:kern w:val="36"/>
          <w:szCs w:val="24"/>
          <w:lang w:eastAsia="en-AU"/>
        </w:rPr>
      </w:pPr>
      <w:hyperlink r:id="rId73" w:history="1">
        <w:r w:rsidR="00AA6C32" w:rsidRPr="0079755D">
          <w:rPr>
            <w:rStyle w:val="Hyperlink"/>
            <w:rFonts w:ascii="Times New Roman" w:hAnsi="Times New Roman"/>
            <w:kern w:val="36"/>
            <w:sz w:val="16"/>
            <w:szCs w:val="16"/>
          </w:rPr>
          <w:t>https://stevekirsch.substack.com/p/covid-litigation-lawyer-directory?publication_id=548354&amp;post_id=105960994&amp;isFreemail=true</w:t>
        </w:r>
      </w:hyperlink>
      <w:r w:rsidR="00AA6C32">
        <w:rPr>
          <w:rFonts w:ascii="Times New Roman" w:eastAsia="Times New Roman" w:hAnsi="Times New Roman" w:cs="Times New Roman"/>
          <w:b/>
          <w:bCs/>
          <w:color w:val="404040"/>
          <w:kern w:val="36"/>
          <w:szCs w:val="24"/>
          <w:lang w:eastAsia="en-AU"/>
        </w:rPr>
        <w:t xml:space="preserve"> </w:t>
      </w:r>
    </w:p>
    <w:p w14:paraId="6278AC49" w14:textId="63995F37" w:rsidR="00AA6C32" w:rsidRDefault="00121D48" w:rsidP="00AA6C32">
      <w:r>
        <w:rPr>
          <w:noProof/>
        </w:rPr>
        <w:drawing>
          <wp:anchor distT="0" distB="0" distL="114300" distR="114300" simplePos="0" relativeHeight="251658240" behindDoc="1" locked="0" layoutInCell="1" allowOverlap="1" wp14:anchorId="0F53E635" wp14:editId="20B46D80">
            <wp:simplePos x="0" y="0"/>
            <wp:positionH relativeFrom="column">
              <wp:posOffset>598805</wp:posOffset>
            </wp:positionH>
            <wp:positionV relativeFrom="paragraph">
              <wp:posOffset>107950</wp:posOffset>
            </wp:positionV>
            <wp:extent cx="2722245" cy="2658110"/>
            <wp:effectExtent l="0" t="0" r="1905" b="8890"/>
            <wp:wrapTight wrapText="bothSides">
              <wp:wrapPolygon edited="0">
                <wp:start x="0" y="0"/>
                <wp:lineTo x="0" y="21517"/>
                <wp:lineTo x="21464" y="21517"/>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722245" cy="2658110"/>
                    </a:xfrm>
                    <a:prstGeom prst="rect">
                      <a:avLst/>
                    </a:prstGeom>
                  </pic:spPr>
                </pic:pic>
              </a:graphicData>
            </a:graphic>
            <wp14:sizeRelH relativeFrom="page">
              <wp14:pctWidth>0</wp14:pctWidth>
            </wp14:sizeRelH>
            <wp14:sizeRelV relativeFrom="page">
              <wp14:pctHeight>0</wp14:pctHeight>
            </wp14:sizeRelV>
          </wp:anchor>
        </w:drawing>
      </w:r>
    </w:p>
    <w:p w14:paraId="4A764FCD" w14:textId="6106F95D" w:rsidR="00AA6C32" w:rsidRDefault="00AA6C32" w:rsidP="00AA6C32"/>
    <w:p w14:paraId="2A5EB1B9" w14:textId="7CCFF770" w:rsidR="00121D48" w:rsidRDefault="00121D48" w:rsidP="00AA6C32"/>
    <w:p w14:paraId="3A2583B9" w14:textId="4222BDB4" w:rsidR="00121D48" w:rsidRDefault="00121D48" w:rsidP="00AA6C32"/>
    <w:p w14:paraId="132532EA" w14:textId="1EACAEC3" w:rsidR="00121D48" w:rsidRDefault="00121D48" w:rsidP="00AA6C32"/>
    <w:p w14:paraId="628CB03B" w14:textId="3F4DBDBD" w:rsidR="00121D48" w:rsidRDefault="00121D48" w:rsidP="00AA6C32"/>
    <w:p w14:paraId="38D889C6" w14:textId="77777777" w:rsidR="00121D48" w:rsidRDefault="00121D48" w:rsidP="00AA6C32"/>
    <w:p w14:paraId="7FD3B59D" w14:textId="77777777" w:rsidR="00121D48" w:rsidRDefault="00121D48" w:rsidP="00AA6C32"/>
    <w:p w14:paraId="2FEFD555" w14:textId="38DC0B2C" w:rsidR="00AA6C32" w:rsidRDefault="00AA6C32" w:rsidP="00AA6C32"/>
    <w:p w14:paraId="6063A428" w14:textId="77777777" w:rsidR="00121D48" w:rsidRDefault="00121D48" w:rsidP="00AA6C32"/>
    <w:p w14:paraId="37CF2969" w14:textId="292E139E" w:rsidR="00121D48" w:rsidRDefault="00AA6C32" w:rsidP="00AA6C32">
      <w:r>
        <w:lastRenderedPageBreak/>
        <w:t xml:space="preserve">There are many more see the tabs about </w:t>
      </w:r>
      <w:hyperlink r:id="rId75" w:history="1">
        <w:r w:rsidRPr="00542B07">
          <w:rPr>
            <w:rStyle w:val="Hyperlink"/>
          </w:rPr>
          <w:t>evidence</w:t>
        </w:r>
      </w:hyperlink>
      <w:r>
        <w:t xml:space="preserve"> and </w:t>
      </w:r>
      <w:hyperlink r:id="rId76" w:history="1">
        <w:r w:rsidRPr="00542B07">
          <w:rPr>
            <w:rStyle w:val="Hyperlink"/>
          </w:rPr>
          <w:t>arguments</w:t>
        </w:r>
      </w:hyperlink>
      <w:r>
        <w:t xml:space="preserve"> under the </w:t>
      </w:r>
      <w:hyperlink r:id="rId77" w:history="1">
        <w:r w:rsidRPr="00542B07">
          <w:rPr>
            <w:rStyle w:val="Hyperlink"/>
          </w:rPr>
          <w:t>Actio Popularis</w:t>
        </w:r>
      </w:hyperlink>
      <w:r>
        <w:t xml:space="preserve"> site forming part of IRFF </w:t>
      </w:r>
    </w:p>
    <w:p w14:paraId="79639663" w14:textId="26A8D72E" w:rsidR="00AA6C32" w:rsidRDefault="00AA6C32" w:rsidP="00AA6C32">
      <w:pPr>
        <w:pStyle w:val="Heading1"/>
      </w:pPr>
      <w:bookmarkStart w:id="102" w:name="_Ref130306698"/>
      <w:bookmarkStart w:id="103" w:name="_Toc130372871"/>
      <w:bookmarkStart w:id="104" w:name="_Toc131144689"/>
      <w:r>
        <w:t>AUSTRALIA</w:t>
      </w:r>
      <w:bookmarkEnd w:id="102"/>
      <w:bookmarkEnd w:id="103"/>
      <w:bookmarkEnd w:id="104"/>
    </w:p>
    <w:p w14:paraId="3653D175" w14:textId="77777777" w:rsidR="001634B0" w:rsidRPr="001634B0" w:rsidRDefault="001634B0" w:rsidP="001634B0"/>
    <w:p w14:paraId="7C8D3AB0" w14:textId="1494B1BE" w:rsidR="00AA6C32" w:rsidRDefault="00AA6C32" w:rsidP="00AA6C32">
      <w:pPr>
        <w:pStyle w:val="Heading3"/>
        <w:rPr>
          <w:rFonts w:eastAsia="Times New Roman"/>
          <w:lang w:eastAsia="en-AU"/>
        </w:rPr>
      </w:pPr>
      <w:bookmarkStart w:id="105" w:name="_Toc130372872"/>
      <w:bookmarkStart w:id="106" w:name="_Toc131144690"/>
      <w:r w:rsidRPr="00222FF8">
        <w:rPr>
          <w:rFonts w:eastAsia="Times New Roman"/>
          <w:lang w:eastAsia="en-AU"/>
        </w:rPr>
        <w:t>Law firm predicts increase in class action litigation for Covid-19 abuses</w:t>
      </w:r>
      <w:bookmarkEnd w:id="105"/>
      <w:bookmarkEnd w:id="106"/>
    </w:p>
    <w:p w14:paraId="27738869" w14:textId="77777777" w:rsidR="001634B0" w:rsidRPr="001634B0" w:rsidRDefault="001634B0" w:rsidP="001634B0">
      <w:pPr>
        <w:rPr>
          <w:lang w:eastAsia="en-AU"/>
        </w:rPr>
      </w:pPr>
    </w:p>
    <w:p w14:paraId="51117357" w14:textId="77777777" w:rsidR="00AA6C32" w:rsidRPr="00AD2256" w:rsidRDefault="00AA6C32" w:rsidP="00AA6C32">
      <w:pPr>
        <w:spacing w:after="0" w:line="240" w:lineRule="auto"/>
        <w:rPr>
          <w:rFonts w:ascii="Times New Roman" w:eastAsia="Times New Roman" w:hAnsi="Times New Roman" w:cs="Times New Roman"/>
          <w:szCs w:val="24"/>
          <w:lang w:eastAsia="en-AU"/>
        </w:rPr>
      </w:pPr>
      <w:r w:rsidRPr="00222FF8">
        <w:rPr>
          <w:rFonts w:eastAsia="Times New Roman" w:cs="Arial"/>
          <w:color w:val="2E6FA1"/>
          <w:szCs w:val="24"/>
          <w:lang w:eastAsia="en-AU"/>
        </w:rPr>
        <w:t>Article</w:t>
      </w:r>
      <w:r w:rsidRPr="00222FF8">
        <w:rPr>
          <w:rFonts w:eastAsia="Times New Roman" w:cs="Arial"/>
          <w:color w:val="152234"/>
          <w:szCs w:val="24"/>
          <w:lang w:eastAsia="en-AU"/>
        </w:rPr>
        <w:t>21 May 2020</w:t>
      </w:r>
    </w:p>
    <w:p w14:paraId="25829EC2" w14:textId="77777777" w:rsidR="00AA6C32" w:rsidRPr="00AD2256" w:rsidRDefault="00AA6C32" w:rsidP="00AA6C32">
      <w:pPr>
        <w:spacing w:after="0" w:line="240" w:lineRule="auto"/>
        <w:rPr>
          <w:rFonts w:eastAsia="Times New Roman" w:cs="Arial"/>
          <w:color w:val="152234"/>
          <w:szCs w:val="24"/>
          <w:lang w:eastAsia="en-AU"/>
        </w:rPr>
      </w:pPr>
      <w:r w:rsidRPr="00222FF8">
        <w:rPr>
          <w:rFonts w:eastAsia="Times New Roman" w:cs="Arial"/>
          <w:color w:val="152234"/>
          <w:szCs w:val="24"/>
          <w:lang w:eastAsia="en-AU"/>
        </w:rPr>
        <w:t>Author:</w:t>
      </w:r>
      <w:r>
        <w:rPr>
          <w:rFonts w:eastAsia="Times New Roman" w:cs="Arial"/>
          <w:color w:val="152234"/>
          <w:szCs w:val="24"/>
          <w:lang w:eastAsia="en-AU"/>
        </w:rPr>
        <w:t xml:space="preserve"> </w:t>
      </w:r>
      <w:r w:rsidRPr="00222FF8">
        <w:rPr>
          <w:rFonts w:eastAsia="Times New Roman" w:cs="Arial"/>
          <w:color w:val="152234"/>
          <w:szCs w:val="24"/>
          <w:lang w:eastAsia="en-AU"/>
        </w:rPr>
        <w:t>Morrison &amp; Foerster LLP</w:t>
      </w:r>
    </w:p>
    <w:p w14:paraId="1F113D43" w14:textId="6085A70F" w:rsidR="00AA6C32" w:rsidRDefault="00000000" w:rsidP="00AA6C32">
      <w:hyperlink r:id="rId78" w:history="1">
        <w:r w:rsidR="00AA6C32" w:rsidRPr="0079755D">
          <w:rPr>
            <w:rStyle w:val="Hyperlink"/>
          </w:rPr>
          <w:t>https://www.business-humanrights.org/en/latest-news/law-firm-predicts-increase-in-class-action-litigation-for-covid-19-abuses/</w:t>
        </w:r>
      </w:hyperlink>
      <w:r w:rsidR="00AA6C32">
        <w:t xml:space="preserve"> </w:t>
      </w:r>
    </w:p>
    <w:p w14:paraId="0266DDB1" w14:textId="77777777" w:rsidR="001634B0" w:rsidRDefault="001634B0" w:rsidP="00AA6C32"/>
    <w:p w14:paraId="7368036F" w14:textId="126D1949" w:rsidR="00AA6C32" w:rsidRDefault="00AA6C32" w:rsidP="00AA6C32">
      <w:pPr>
        <w:pStyle w:val="Heading3"/>
      </w:pPr>
      <w:bookmarkStart w:id="107" w:name="_Toc130372873"/>
      <w:bookmarkStart w:id="108" w:name="_Toc131144691"/>
      <w:r w:rsidRPr="00222FF8">
        <w:t>Class action against Victorian Government over second COVID-19 lockdown to go ahead</w:t>
      </w:r>
      <w:bookmarkEnd w:id="107"/>
      <w:bookmarkEnd w:id="108"/>
    </w:p>
    <w:p w14:paraId="7E6FB70B" w14:textId="77777777" w:rsidR="004421CB" w:rsidRPr="004421CB" w:rsidRDefault="004421CB" w:rsidP="004421CB"/>
    <w:p w14:paraId="7858C031" w14:textId="77777777" w:rsidR="00AA6C32" w:rsidRPr="00222FF8" w:rsidRDefault="00000000" w:rsidP="00AA6C32">
      <w:pPr>
        <w:shd w:val="clear" w:color="auto" w:fill="FFFFFF"/>
        <w:textAlignment w:val="baseline"/>
        <w:rPr>
          <w:rFonts w:ascii="proxima-nova" w:hAnsi="proxima-nova"/>
          <w:color w:val="333333"/>
          <w:szCs w:val="24"/>
          <w:bdr w:val="none" w:sz="0" w:space="0" w:color="auto" w:frame="1"/>
        </w:rPr>
      </w:pPr>
      <w:hyperlink r:id="rId79" w:history="1">
        <w:r w:rsidR="00AA6C32" w:rsidRPr="00222FF8">
          <w:rPr>
            <w:rStyle w:val="Hyperlink"/>
            <w:rFonts w:ascii="inherit" w:hAnsi="inherit"/>
            <w:color w:val="333333"/>
            <w:szCs w:val="24"/>
            <w:bdr w:val="none" w:sz="0" w:space="0" w:color="auto" w:frame="1"/>
          </w:rPr>
          <w:t xml:space="preserve">By Serena </w:t>
        </w:r>
        <w:proofErr w:type="spellStart"/>
        <w:r w:rsidR="00AA6C32" w:rsidRPr="00222FF8">
          <w:rPr>
            <w:rStyle w:val="Hyperlink"/>
            <w:rFonts w:ascii="inherit" w:hAnsi="inherit"/>
            <w:color w:val="333333"/>
            <w:szCs w:val="24"/>
            <w:bdr w:val="none" w:sz="0" w:space="0" w:color="auto" w:frame="1"/>
          </w:rPr>
          <w:t>Seyfort</w:t>
        </w:r>
        <w:proofErr w:type="spellEnd"/>
      </w:hyperlink>
    </w:p>
    <w:p w14:paraId="7FD21634" w14:textId="77777777" w:rsidR="00AA6C32" w:rsidRPr="00222FF8" w:rsidRDefault="00AA6C32" w:rsidP="00AA6C32">
      <w:pPr>
        <w:shd w:val="clear" w:color="auto" w:fill="FFFFFF"/>
        <w:textAlignment w:val="baseline"/>
        <w:rPr>
          <w:rFonts w:ascii="proxima-nova" w:hAnsi="proxima-nova"/>
          <w:color w:val="333333"/>
          <w:szCs w:val="24"/>
        </w:rPr>
      </w:pPr>
      <w:r w:rsidRPr="00222FF8">
        <w:rPr>
          <w:rFonts w:ascii="proxima-nova" w:hAnsi="proxima-nova"/>
          <w:color w:val="333333"/>
          <w:szCs w:val="24"/>
        </w:rPr>
        <w:t>2:10pm Aug 26, 2022</w:t>
      </w:r>
    </w:p>
    <w:p w14:paraId="39AAB337" w14:textId="63C14505" w:rsidR="00AA6C32" w:rsidRDefault="00000000" w:rsidP="00AA6C32">
      <w:pPr>
        <w:rPr>
          <w:rStyle w:val="Hyperlink"/>
        </w:rPr>
      </w:pPr>
      <w:hyperlink r:id="rId80" w:history="1">
        <w:r w:rsidR="00AA6C32" w:rsidRPr="0079755D">
          <w:rPr>
            <w:rStyle w:val="Hyperlink"/>
          </w:rPr>
          <w:t>https://www.9news.com.au/national/class-action-against-victorian-government-over-hotel-quarantine-to-go-ahead/c5541fe6-8a2d-4583-845e-18521d8d6885</w:t>
        </w:r>
      </w:hyperlink>
    </w:p>
    <w:p w14:paraId="0881ADCE" w14:textId="77777777" w:rsidR="001634B0" w:rsidRDefault="001634B0" w:rsidP="00AA6C32"/>
    <w:p w14:paraId="305C65FC" w14:textId="1ECE23AC" w:rsidR="001634B0" w:rsidRDefault="00AA6C32" w:rsidP="001634B0">
      <w:pPr>
        <w:pStyle w:val="Heading3"/>
      </w:pPr>
      <w:bookmarkStart w:id="109" w:name="_Toc130372874"/>
      <w:bookmarkStart w:id="110" w:name="_Toc131144692"/>
      <w:r w:rsidRPr="00222FF8">
        <w:t>Victorian government faces two big payouts due to lockdown class actions</w:t>
      </w:r>
      <w:bookmarkEnd w:id="109"/>
      <w:bookmarkEnd w:id="110"/>
    </w:p>
    <w:p w14:paraId="653B4EEE" w14:textId="77777777" w:rsidR="004421CB" w:rsidRPr="004421CB" w:rsidRDefault="004421CB" w:rsidP="004421CB"/>
    <w:p w14:paraId="6BFD4083" w14:textId="7186F22F" w:rsidR="00AA6C32" w:rsidRDefault="00000000" w:rsidP="00AA6C32">
      <w:pPr>
        <w:rPr>
          <w:rStyle w:val="Hyperlink"/>
        </w:rPr>
      </w:pPr>
      <w:hyperlink r:id="rId81" w:history="1">
        <w:r w:rsidR="00AA6C32" w:rsidRPr="0079755D">
          <w:rPr>
            <w:rStyle w:val="Hyperlink"/>
          </w:rPr>
          <w:t>https://9now.nine.com.au/a-current-affair/coronavirus-class-actions-against-victoria-government/43c25f33-2c3a-49e6-9c02-1cc489cfe865</w:t>
        </w:r>
      </w:hyperlink>
    </w:p>
    <w:p w14:paraId="6105F979" w14:textId="77777777" w:rsidR="001634B0" w:rsidRDefault="001634B0" w:rsidP="00AA6C32"/>
    <w:p w14:paraId="6DA0D7C0" w14:textId="77777777" w:rsidR="00AA6C32" w:rsidRPr="00222FF8" w:rsidRDefault="00AA6C32" w:rsidP="00AA6C32">
      <w:pPr>
        <w:pStyle w:val="Heading3"/>
      </w:pPr>
      <w:bookmarkStart w:id="111" w:name="_Toc130372875"/>
      <w:bookmarkStart w:id="112" w:name="_Toc131144693"/>
      <w:r w:rsidRPr="00222FF8">
        <w:t>COVID-19 vaccine opponents slapped with $214,000 in legal costs after failed lawsuit</w:t>
      </w:r>
      <w:bookmarkEnd w:id="111"/>
      <w:bookmarkEnd w:id="112"/>
    </w:p>
    <w:p w14:paraId="4E81CBD2" w14:textId="77777777" w:rsidR="00AA6C32" w:rsidRPr="00222FF8" w:rsidRDefault="00AA6C32" w:rsidP="00AA6C32">
      <w:pPr>
        <w:shd w:val="clear" w:color="auto" w:fill="FFFFFF"/>
        <w:spacing w:line="375" w:lineRule="atLeast"/>
        <w:jc w:val="center"/>
        <w:rPr>
          <w:rFonts w:ascii="Montserrat" w:hAnsi="Montserrat"/>
          <w:color w:val="292A33"/>
          <w:szCs w:val="24"/>
        </w:rPr>
      </w:pPr>
      <w:r w:rsidRPr="00222FF8">
        <w:rPr>
          <w:rFonts w:ascii="Montserrat" w:hAnsi="Montserrat"/>
          <w:color w:val="292A33"/>
          <w:szCs w:val="24"/>
        </w:rPr>
        <w:t>The group went to the Federal Court against COVID-19 measures, arguing they were unconstitutional.</w:t>
      </w:r>
    </w:p>
    <w:p w14:paraId="647526DB" w14:textId="77777777" w:rsidR="00AA6C32" w:rsidRPr="00222FF8" w:rsidRDefault="00AA6C32" w:rsidP="00AA6C32">
      <w:pPr>
        <w:shd w:val="clear" w:color="auto" w:fill="FFFFFF"/>
        <w:spacing w:line="240" w:lineRule="auto"/>
        <w:jc w:val="center"/>
        <w:rPr>
          <w:rFonts w:ascii="Montserrat" w:hAnsi="Montserrat"/>
          <w:color w:val="979797"/>
          <w:szCs w:val="24"/>
        </w:rPr>
      </w:pPr>
      <w:r w:rsidRPr="00222FF8">
        <w:rPr>
          <w:rStyle w:val="css-r5ob3t-styledarticlebylineauthor"/>
          <w:rFonts w:ascii="Montserrat" w:hAnsi="Montserrat"/>
          <w:color w:val="000000"/>
          <w:szCs w:val="24"/>
        </w:rPr>
        <w:t>Karen Sweeney</w:t>
      </w:r>
      <w:hyperlink r:id="rId82" w:history="1">
        <w:r w:rsidRPr="00222FF8">
          <w:rPr>
            <w:rStyle w:val="Hyperlink"/>
            <w:rFonts w:ascii="Montserrat" w:hAnsi="Montserrat"/>
            <w:color w:val="000000"/>
            <w:szCs w:val="24"/>
          </w:rPr>
          <w:t>, AAP</w:t>
        </w:r>
      </w:hyperlink>
      <w:r w:rsidRPr="00222FF8">
        <w:rPr>
          <w:rFonts w:ascii="Montserrat" w:hAnsi="Montserrat"/>
          <w:color w:val="979797"/>
          <w:szCs w:val="24"/>
        </w:rPr>
        <w:t> / </w:t>
      </w:r>
      <w:hyperlink r:id="rId83" w:history="1">
        <w:r w:rsidRPr="00222FF8">
          <w:rPr>
            <w:rStyle w:val="Hyperlink"/>
            <w:rFonts w:ascii="Montserrat" w:hAnsi="Montserrat"/>
            <w:color w:val="BA0057"/>
            <w:szCs w:val="24"/>
          </w:rPr>
          <w:t>Health &amp; Wellbeing</w:t>
        </w:r>
      </w:hyperlink>
      <w:r w:rsidRPr="00222FF8">
        <w:rPr>
          <w:rFonts w:ascii="Montserrat" w:hAnsi="Montserrat"/>
          <w:color w:val="979797"/>
          <w:szCs w:val="24"/>
        </w:rPr>
        <w:t> / Updated 31.08.2022</w:t>
      </w:r>
    </w:p>
    <w:p w14:paraId="7D608B27" w14:textId="77777777" w:rsidR="00AA6C32" w:rsidRDefault="00AA6C32" w:rsidP="00AA6C32"/>
    <w:p w14:paraId="7BC75113" w14:textId="77777777" w:rsidR="00AA6C32" w:rsidRDefault="00000000" w:rsidP="00AA6C32">
      <w:hyperlink r:id="rId84" w:history="1">
        <w:r w:rsidR="00AA6C32" w:rsidRPr="0079755D">
          <w:rPr>
            <w:rStyle w:val="Hyperlink"/>
          </w:rPr>
          <w:t>https://7news.com.au/lifestyle/health-wellbeing/covid-19-vaccine-opponents-slapped-with-214000-in-legal-costs-after-failed-lawsuit-c-8065857</w:t>
        </w:r>
      </w:hyperlink>
    </w:p>
    <w:p w14:paraId="287E3420" w14:textId="77777777" w:rsidR="00AA6C32" w:rsidRDefault="00AA6C32" w:rsidP="00AA6C32"/>
    <w:p w14:paraId="0CA26A99" w14:textId="77777777" w:rsidR="00AA6C32" w:rsidRDefault="00AA6C32" w:rsidP="00AA6C32">
      <w:pPr>
        <w:pStyle w:val="Heading1"/>
        <w:shd w:val="clear" w:color="auto" w:fill="7399B1"/>
        <w:rPr>
          <w:rFonts w:cs="Arial"/>
          <w:caps/>
          <w:color w:val="FFFFFF"/>
          <w:spacing w:val="1"/>
          <w:sz w:val="48"/>
        </w:rPr>
      </w:pPr>
      <w:bookmarkStart w:id="113" w:name="_Toc130372876"/>
      <w:bookmarkStart w:id="114" w:name="_Toc131144694"/>
      <w:r>
        <w:rPr>
          <w:rFonts w:cs="Arial"/>
          <w:caps/>
          <w:color w:val="FFFFFF"/>
          <w:spacing w:val="1"/>
        </w:rPr>
        <w:lastRenderedPageBreak/>
        <w:t>COVID-19 STATE GOVERNMENT (BUSINESS LOSSES) GROUP PROCEEDING (CLASS ACTION)</w:t>
      </w:r>
      <w:bookmarkEnd w:id="113"/>
      <w:bookmarkEnd w:id="114"/>
    </w:p>
    <w:p w14:paraId="4DE0212F" w14:textId="77777777" w:rsidR="00AA6C32" w:rsidRDefault="00AA6C32" w:rsidP="00AA6C32">
      <w:pPr>
        <w:pStyle w:val="NormalWeb"/>
        <w:shd w:val="clear" w:color="auto" w:fill="7399B1"/>
        <w:spacing w:before="0" w:beforeAutospacing="0" w:after="0" w:afterAutospacing="0"/>
        <w:rPr>
          <w:rFonts w:ascii="Arial" w:hAnsi="Arial" w:cs="Arial"/>
          <w:color w:val="FFFFFF"/>
        </w:rPr>
      </w:pPr>
      <w:r>
        <w:rPr>
          <w:rStyle w:val="Emphasis"/>
          <w:rFonts w:eastAsiaTheme="majorEastAsia" w:cs="Arial"/>
          <w:color w:val="FFFFFF"/>
        </w:rPr>
        <w:t>5 Boroughs NY Pty Ltd v State of Victoria</w:t>
      </w:r>
      <w:r>
        <w:rPr>
          <w:rFonts w:ascii="Arial" w:hAnsi="Arial" w:cs="Arial"/>
          <w:color w:val="FFFFFF"/>
        </w:rPr>
        <w:t> (S ECI 2020 03402)</w:t>
      </w:r>
    </w:p>
    <w:p w14:paraId="2A65EB5B" w14:textId="77777777" w:rsidR="00AA6C32" w:rsidRDefault="00AA6C32" w:rsidP="00AA6C32"/>
    <w:p w14:paraId="2302CF63" w14:textId="77777777" w:rsidR="00AA6C32" w:rsidRDefault="00000000" w:rsidP="00AA6C32">
      <w:hyperlink r:id="rId85" w:history="1">
        <w:r w:rsidR="00AA6C32" w:rsidRPr="0079755D">
          <w:rPr>
            <w:rStyle w:val="Hyperlink"/>
          </w:rPr>
          <w:t>https://www.supremecourt.vic.gov.au/areas/group-proceedings/covid-19-state-government-business-losses</w:t>
        </w:r>
      </w:hyperlink>
    </w:p>
    <w:p w14:paraId="3DDACDD3" w14:textId="77777777" w:rsidR="00AA6C32" w:rsidRDefault="00AA6C32" w:rsidP="00AA6C32"/>
    <w:p w14:paraId="0E16EEB9" w14:textId="2F4FEB4F" w:rsidR="00AA6C32" w:rsidRDefault="00AA6C32" w:rsidP="00AA6C32">
      <w:pPr>
        <w:pStyle w:val="Heading3"/>
      </w:pPr>
      <w:bookmarkStart w:id="115" w:name="_Toc130372877"/>
      <w:bookmarkStart w:id="116" w:name="_Toc131144695"/>
      <w:r>
        <w:t>The major problem with Covid-19 vaccine compensation claims</w:t>
      </w:r>
      <w:bookmarkEnd w:id="115"/>
      <w:bookmarkEnd w:id="116"/>
    </w:p>
    <w:p w14:paraId="2803104A" w14:textId="77777777" w:rsidR="004421CB" w:rsidRPr="004421CB" w:rsidRDefault="004421CB" w:rsidP="004421CB"/>
    <w:p w14:paraId="20D0E53C" w14:textId="77777777" w:rsidR="00AA6C32" w:rsidRDefault="00AA6C32" w:rsidP="00AA6C32">
      <w:pPr>
        <w:pStyle w:val="gfont-body-l"/>
        <w:spacing w:before="0" w:beforeAutospacing="0" w:after="0" w:afterAutospacing="0"/>
        <w:textAlignment w:val="baseline"/>
        <w:rPr>
          <w:rFonts w:ascii="Helvetica Neue" w:hAnsi="Helvetica Neue"/>
          <w:color w:val="606669"/>
          <w:sz w:val="27"/>
          <w:szCs w:val="27"/>
        </w:rPr>
      </w:pPr>
      <w:r>
        <w:rPr>
          <w:rFonts w:ascii="Helvetica Neue" w:hAnsi="Helvetica Neue"/>
          <w:color w:val="606669"/>
          <w:sz w:val="27"/>
          <w:szCs w:val="27"/>
        </w:rPr>
        <w:t>Major issues from a program set up to compensate Australians who suffered injury from getting the Covid-19 vaccine have been revealed.</w:t>
      </w:r>
    </w:p>
    <w:p w14:paraId="08F6E0DA" w14:textId="77777777" w:rsidR="00AA6C32" w:rsidRDefault="00000000" w:rsidP="00AA6C32">
      <w:hyperlink r:id="rId86" w:history="1">
        <w:r w:rsidR="00AA6C32" w:rsidRPr="0079755D">
          <w:rPr>
            <w:rStyle w:val="Hyperlink"/>
          </w:rPr>
          <w:t>https://www.news.com.au/national/the-major-problem-with-covid19-vaccine-compensation-claims/news-story/39b052c5ec6abd11ff933659d309a20f</w:t>
        </w:r>
      </w:hyperlink>
    </w:p>
    <w:p w14:paraId="021CCB90" w14:textId="77777777" w:rsidR="00AA6C32" w:rsidRDefault="00AA6C32" w:rsidP="00AA6C32"/>
    <w:p w14:paraId="25BA07EA" w14:textId="1894B184" w:rsidR="00AA6C32" w:rsidRDefault="00000000" w:rsidP="00AA6C32">
      <w:pPr>
        <w:pStyle w:val="Heading3"/>
        <w:rPr>
          <w:rStyle w:val="Hyperlink"/>
          <w:rFonts w:ascii="Barlow Semi Condensed" w:hAnsi="Barlow Semi Condensed"/>
        </w:rPr>
      </w:pPr>
      <w:hyperlink r:id="rId87" w:tooltip="COVID-19 Vaccine Injuries Have Largely Been Ignored" w:history="1">
        <w:bookmarkStart w:id="117" w:name="_Toc130372878"/>
        <w:bookmarkStart w:id="118" w:name="_Toc131144696"/>
        <w:r w:rsidR="00AA6C32" w:rsidRPr="001430F9">
          <w:rPr>
            <w:rStyle w:val="Hyperlink"/>
            <w:rFonts w:ascii="Barlow Semi Condensed" w:hAnsi="Barlow Semi Condensed"/>
          </w:rPr>
          <w:t>COVID-19 Vaccine Injuries Have Largely Been Ignored</w:t>
        </w:r>
        <w:bookmarkEnd w:id="117"/>
        <w:bookmarkEnd w:id="118"/>
      </w:hyperlink>
    </w:p>
    <w:p w14:paraId="1B6AC522" w14:textId="77777777" w:rsidR="004421CB" w:rsidRPr="004421CB" w:rsidRDefault="004421CB" w:rsidP="004421CB"/>
    <w:p w14:paraId="6CCE631D" w14:textId="77777777" w:rsidR="00AA6C32" w:rsidRPr="001430F9" w:rsidRDefault="00AA6C32" w:rsidP="00AA6C32">
      <w:pPr>
        <w:shd w:val="clear" w:color="auto" w:fill="FAFAFA"/>
        <w:spacing w:line="264" w:lineRule="atLeast"/>
        <w:rPr>
          <w:rFonts w:ascii="Barlow Semi Condensed" w:hAnsi="Barlow Semi Condensed"/>
          <w:caps/>
          <w:color w:val="363636"/>
          <w:szCs w:val="24"/>
        </w:rPr>
      </w:pPr>
      <w:r w:rsidRPr="001430F9">
        <w:rPr>
          <w:rFonts w:ascii="Barlow Semi Condensed" w:hAnsi="Barlow Semi Condensed"/>
          <w:caps/>
          <w:color w:val="363636"/>
          <w:szCs w:val="24"/>
        </w:rPr>
        <w:t>26/01/2023 BY </w:t>
      </w:r>
      <w:hyperlink r:id="rId88" w:tooltip="Articles by Sonia Hickey" w:history="1">
        <w:r w:rsidRPr="001430F9">
          <w:rPr>
            <w:rStyle w:val="Hyperlink"/>
            <w:rFonts w:ascii="Barlow Semi Condensed" w:hAnsi="Barlow Semi Condensed"/>
            <w:caps/>
            <w:color w:val="187A81"/>
            <w:szCs w:val="24"/>
          </w:rPr>
          <w:t>SONIA HICKEY</w:t>
        </w:r>
      </w:hyperlink>
    </w:p>
    <w:p w14:paraId="44BD4ED7" w14:textId="77777777" w:rsidR="00AA6C32" w:rsidRDefault="00000000" w:rsidP="00AA6C32">
      <w:hyperlink r:id="rId89" w:history="1">
        <w:r w:rsidR="00AA6C32" w:rsidRPr="0079755D">
          <w:rPr>
            <w:rStyle w:val="Hyperlink"/>
          </w:rPr>
          <w:t>https://www.sydneycriminallawyers.com.au/blog/covid-19-vaccine-injuries-have-largely-been-ignored/</w:t>
        </w:r>
      </w:hyperlink>
    </w:p>
    <w:p w14:paraId="2D8658F6" w14:textId="77777777" w:rsidR="00AA6C32" w:rsidRDefault="00AA6C32" w:rsidP="00AA6C32"/>
    <w:p w14:paraId="160F9A74" w14:textId="77777777" w:rsidR="00AA6C32" w:rsidRDefault="00AA6C32" w:rsidP="00AA6C32">
      <w:r>
        <w:rPr>
          <w:noProof/>
        </w:rPr>
        <w:drawing>
          <wp:inline distT="0" distB="0" distL="0" distR="0" wp14:anchorId="1620FC6F" wp14:editId="3B54D8F7">
            <wp:extent cx="3723827" cy="8104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32316" cy="834104"/>
                    </a:xfrm>
                    <a:prstGeom prst="rect">
                      <a:avLst/>
                    </a:prstGeom>
                    <a:noFill/>
                    <a:ln>
                      <a:noFill/>
                    </a:ln>
                  </pic:spPr>
                </pic:pic>
              </a:graphicData>
            </a:graphic>
          </wp:inline>
        </w:drawing>
      </w:r>
    </w:p>
    <w:p w14:paraId="6FA519BF" w14:textId="77777777" w:rsidR="00AA6C32" w:rsidRPr="001430F9" w:rsidRDefault="00AA6C32" w:rsidP="00AA6C32">
      <w:pPr>
        <w:pStyle w:val="Heading1"/>
        <w:shd w:val="clear" w:color="auto" w:fill="F8FAFB"/>
        <w:spacing w:before="0" w:after="450"/>
        <w:rPr>
          <w:rFonts w:ascii="Century Gothic" w:hAnsi="Century Gothic"/>
          <w:b w:val="0"/>
          <w:color w:val="242941"/>
          <w:spacing w:val="-30"/>
          <w:sz w:val="24"/>
          <w:szCs w:val="24"/>
        </w:rPr>
      </w:pPr>
      <w:bookmarkStart w:id="119" w:name="_Toc130372879"/>
      <w:bookmarkStart w:id="120" w:name="_Toc131144697"/>
      <w:r w:rsidRPr="001430F9">
        <w:rPr>
          <w:rStyle w:val="ct-span"/>
          <w:rFonts w:ascii="Century Gothic" w:hAnsi="Century Gothic"/>
          <w:b w:val="0"/>
          <w:bCs/>
          <w:color w:val="242941"/>
          <w:spacing w:val="-30"/>
          <w:sz w:val="24"/>
          <w:szCs w:val="24"/>
        </w:rPr>
        <w:t>Covid Vaccine Injury Compensation Claims</w:t>
      </w:r>
      <w:bookmarkEnd w:id="119"/>
      <w:bookmarkEnd w:id="120"/>
    </w:p>
    <w:p w14:paraId="2BD9AAC6" w14:textId="77777777" w:rsidR="00AA6C32" w:rsidRDefault="00000000" w:rsidP="00AA6C32">
      <w:hyperlink r:id="rId91" w:history="1">
        <w:r w:rsidR="00AA6C32" w:rsidRPr="0079755D">
          <w:rPr>
            <w:rStyle w:val="Hyperlink"/>
          </w:rPr>
          <w:t>https://www.murphys-law.com.au/compensation/covid-vaccine-injury-compensation/</w:t>
        </w:r>
      </w:hyperlink>
    </w:p>
    <w:p w14:paraId="58794778" w14:textId="77777777" w:rsidR="00AA6C32" w:rsidRPr="001430F9" w:rsidRDefault="00AA6C32" w:rsidP="00AA6C32">
      <w:pPr>
        <w:rPr>
          <w:color w:val="000000" w:themeColor="text1"/>
        </w:rPr>
      </w:pPr>
    </w:p>
    <w:p w14:paraId="3FB7A2C2" w14:textId="77777777" w:rsidR="00AA6C32" w:rsidRPr="001430F9" w:rsidRDefault="00AA6C32" w:rsidP="00AA6C32">
      <w:pPr>
        <w:pStyle w:val="Heading3"/>
      </w:pPr>
      <w:bookmarkStart w:id="121" w:name="_Toc130372880"/>
      <w:bookmarkStart w:id="122" w:name="_Toc131144698"/>
      <w:r w:rsidRPr="001430F9">
        <w:t>COVID-19 Vaccine Claims Scheme</w:t>
      </w:r>
      <w:bookmarkEnd w:id="121"/>
      <w:bookmarkEnd w:id="122"/>
    </w:p>
    <w:p w14:paraId="02EBAFFE" w14:textId="77777777" w:rsidR="00AA6C32" w:rsidRPr="001430F9" w:rsidRDefault="00AA6C32" w:rsidP="00AA6C32">
      <w:pPr>
        <w:pStyle w:val="au-introduction"/>
        <w:shd w:val="clear" w:color="auto" w:fill="FFFFFF"/>
        <w:rPr>
          <w:rFonts w:ascii="Arial" w:hAnsi="Arial" w:cs="Arial"/>
          <w:color w:val="000000" w:themeColor="text1"/>
        </w:rPr>
      </w:pPr>
      <w:r w:rsidRPr="001430F9">
        <w:rPr>
          <w:rFonts w:ascii="Arial" w:hAnsi="Arial" w:cs="Arial"/>
          <w:color w:val="000000" w:themeColor="text1"/>
        </w:rPr>
        <w:t>The Australian Government has implemented a claims scheme to enable eligible claimants who have received a TGA-approved COVID-19 vaccine to obtain compensation for recognised moderate to severe vaccine-related adverse events.</w:t>
      </w:r>
    </w:p>
    <w:p w14:paraId="26CB49A3" w14:textId="77777777" w:rsidR="00AA6C32" w:rsidRDefault="00000000" w:rsidP="00AA6C32">
      <w:pPr>
        <w:rPr>
          <w:color w:val="000000" w:themeColor="text1"/>
        </w:rPr>
      </w:pPr>
      <w:hyperlink r:id="rId92" w:history="1">
        <w:r w:rsidR="00AA6C32" w:rsidRPr="0079755D">
          <w:rPr>
            <w:rStyle w:val="Hyperlink"/>
          </w:rPr>
          <w:t>https://www.health.gov.au/our-work/covid-19-vaccine-claims-scheme</w:t>
        </w:r>
      </w:hyperlink>
    </w:p>
    <w:p w14:paraId="5FD4CC0E" w14:textId="77777777" w:rsidR="00AA6C32" w:rsidRDefault="00AA6C32" w:rsidP="00AA6C32">
      <w:pPr>
        <w:rPr>
          <w:color w:val="000000" w:themeColor="text1"/>
        </w:rPr>
      </w:pPr>
    </w:p>
    <w:p w14:paraId="01A51DC4" w14:textId="77777777" w:rsidR="00AA6C32" w:rsidRDefault="00AA6C32" w:rsidP="00AA6C32">
      <w:pPr>
        <w:rPr>
          <w:color w:val="000000" w:themeColor="text1"/>
        </w:rPr>
      </w:pPr>
      <w:r>
        <w:rPr>
          <w:noProof/>
        </w:rPr>
        <w:lastRenderedPageBreak/>
        <w:drawing>
          <wp:inline distT="0" distB="0" distL="0" distR="0" wp14:anchorId="115CD95E" wp14:editId="43AA7A1D">
            <wp:extent cx="3616037" cy="736137"/>
            <wp:effectExtent l="0" t="0" r="3810" b="6985"/>
            <wp:docPr id="55" name="Picture 55" descr="Federal Court of Australia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ourt of Australia home p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64616" cy="766384"/>
                    </a:xfrm>
                    <a:prstGeom prst="rect">
                      <a:avLst/>
                    </a:prstGeom>
                    <a:noFill/>
                    <a:ln>
                      <a:noFill/>
                    </a:ln>
                  </pic:spPr>
                </pic:pic>
              </a:graphicData>
            </a:graphic>
          </wp:inline>
        </w:drawing>
      </w:r>
    </w:p>
    <w:p w14:paraId="3673922A" w14:textId="77777777" w:rsidR="00AA6C32" w:rsidRPr="001430F9" w:rsidRDefault="00AA6C32" w:rsidP="00AA6C32">
      <w:pPr>
        <w:pStyle w:val="Heading1"/>
        <w:shd w:val="clear" w:color="auto" w:fill="FFFFFF"/>
        <w:spacing w:before="0" w:after="180"/>
        <w:textAlignment w:val="baseline"/>
        <w:rPr>
          <w:rFonts w:ascii="Georgia" w:hAnsi="Georgia"/>
          <w:b w:val="0"/>
          <w:color w:val="000000"/>
          <w:sz w:val="24"/>
          <w:szCs w:val="24"/>
        </w:rPr>
      </w:pPr>
      <w:bookmarkStart w:id="123" w:name="_Toc130372881"/>
      <w:bookmarkStart w:id="124" w:name="_Toc131144699"/>
      <w:r w:rsidRPr="001430F9">
        <w:rPr>
          <w:rFonts w:ascii="Georgia" w:hAnsi="Georgia"/>
          <w:b w:val="0"/>
          <w:bCs/>
          <w:color w:val="000000"/>
          <w:sz w:val="24"/>
          <w:szCs w:val="24"/>
        </w:rPr>
        <w:t>Current Class Actions</w:t>
      </w:r>
      <w:bookmarkEnd w:id="123"/>
      <w:bookmarkEnd w:id="124"/>
    </w:p>
    <w:p w14:paraId="0ABB2450" w14:textId="77777777" w:rsidR="00AA6C32" w:rsidRPr="001430F9" w:rsidRDefault="00AA6C32" w:rsidP="00AA6C32">
      <w:pPr>
        <w:pStyle w:val="NormalWeb"/>
        <w:shd w:val="clear" w:color="auto" w:fill="FFFFFF"/>
        <w:spacing w:before="0" w:beforeAutospacing="0" w:after="0" w:afterAutospacing="0"/>
        <w:textAlignment w:val="baseline"/>
        <w:rPr>
          <w:rFonts w:ascii="Arial" w:hAnsi="Arial" w:cs="Arial"/>
          <w:color w:val="3A3A3A"/>
        </w:rPr>
      </w:pPr>
      <w:r w:rsidRPr="001430F9">
        <w:rPr>
          <w:rFonts w:ascii="Arial" w:hAnsi="Arial" w:cs="Arial"/>
          <w:color w:val="3A3A3A"/>
        </w:rPr>
        <w:t> </w:t>
      </w:r>
      <w:r w:rsidRPr="001430F9">
        <w:rPr>
          <w:rStyle w:val="Emphasis"/>
          <w:rFonts w:eastAsiaTheme="majorEastAsia" w:cs="Arial"/>
          <w:color w:val="3A3A3A"/>
          <w:bdr w:val="none" w:sz="0" w:space="0" w:color="auto" w:frame="1"/>
        </w:rPr>
        <w:t>Updated 9 March 2023</w:t>
      </w:r>
    </w:p>
    <w:p w14:paraId="486CC1D7" w14:textId="77777777" w:rsidR="00AA6C32" w:rsidRDefault="00AA6C32" w:rsidP="00AA6C32">
      <w:pPr>
        <w:rPr>
          <w:color w:val="000000" w:themeColor="text1"/>
        </w:rPr>
      </w:pPr>
    </w:p>
    <w:p w14:paraId="0F553877" w14:textId="77777777" w:rsidR="00AA6C32" w:rsidRPr="00125D72" w:rsidRDefault="00AA6C32" w:rsidP="00AA6C32">
      <w:pPr>
        <w:rPr>
          <w:color w:val="000000" w:themeColor="text1"/>
        </w:rPr>
      </w:pPr>
      <w:r w:rsidRPr="001430F9">
        <w:rPr>
          <w:color w:val="000000" w:themeColor="text1"/>
        </w:rPr>
        <w:t>https://www.fedcourt.gov.au/law-and-practice/class-actions/class-actions</w:t>
      </w:r>
    </w:p>
    <w:p w14:paraId="5363DB29" w14:textId="77777777" w:rsidR="00AA6C32" w:rsidRPr="001430F9" w:rsidRDefault="00AA6C32" w:rsidP="00AA6C32">
      <w:pPr>
        <w:pStyle w:val="Heading3"/>
      </w:pPr>
      <w:bookmarkStart w:id="125" w:name="_Toc130372882"/>
      <w:bookmarkStart w:id="126" w:name="_Toc131144700"/>
      <w:r w:rsidRPr="001430F9">
        <w:t>Who pays compensation if a COVID-19 vaccine has rare side-effects?</w:t>
      </w:r>
      <w:bookmarkEnd w:id="125"/>
      <w:bookmarkEnd w:id="126"/>
    </w:p>
    <w:p w14:paraId="38DB9AFF" w14:textId="77777777" w:rsidR="00AA6C32" w:rsidRPr="001430F9" w:rsidRDefault="00AA6C32" w:rsidP="00AA6C32">
      <w:pPr>
        <w:shd w:val="clear" w:color="auto" w:fill="FFFFFF"/>
        <w:rPr>
          <w:rFonts w:ascii="Courier" w:hAnsi="Courier" w:cs="Helvetica"/>
          <w:color w:val="333333"/>
          <w:szCs w:val="24"/>
        </w:rPr>
      </w:pPr>
      <w:r w:rsidRPr="001430F9">
        <w:rPr>
          <w:rFonts w:ascii="Courier" w:hAnsi="Courier" w:cs="Helvetica"/>
          <w:color w:val="333333"/>
          <w:szCs w:val="24"/>
        </w:rPr>
        <w:t>20 October 2020</w:t>
      </w:r>
    </w:p>
    <w:p w14:paraId="5BD60014" w14:textId="77777777" w:rsidR="00AA6C32" w:rsidRPr="001430F9" w:rsidRDefault="00AA6C32" w:rsidP="00AA6C32">
      <w:pPr>
        <w:shd w:val="clear" w:color="auto" w:fill="FFFFFF"/>
        <w:spacing w:line="450" w:lineRule="atLeast"/>
        <w:rPr>
          <w:rFonts w:ascii="Georgia" w:hAnsi="Georgia" w:cs="Helvetica"/>
          <w:color w:val="333333"/>
          <w:szCs w:val="24"/>
        </w:rPr>
      </w:pPr>
      <w:r w:rsidRPr="001430F9">
        <w:rPr>
          <w:rFonts w:ascii="Georgia" w:hAnsi="Georgia" w:cs="Helvetica"/>
          <w:color w:val="333333"/>
          <w:szCs w:val="24"/>
        </w:rPr>
        <w:t>What does Australia’s latest indemnity deal mean in practice?</w:t>
      </w:r>
    </w:p>
    <w:p w14:paraId="3BCDD822" w14:textId="77777777" w:rsidR="00AA6C32" w:rsidRDefault="00AA6C32" w:rsidP="00AA6C32"/>
    <w:p w14:paraId="62E95429" w14:textId="77777777" w:rsidR="00AA6C32" w:rsidRDefault="00000000" w:rsidP="00AA6C32">
      <w:hyperlink r:id="rId94" w:history="1">
        <w:r w:rsidR="00AA6C32" w:rsidRPr="0079755D">
          <w:rPr>
            <w:rStyle w:val="Hyperlink"/>
          </w:rPr>
          <w:t>https://www.sydney.edu.au/news-opinion/news/2020/10/20/who-pays-compensation-if-a-covid19-vaccine-has-rare-side-effects.html</w:t>
        </w:r>
      </w:hyperlink>
    </w:p>
    <w:p w14:paraId="2C4E917F" w14:textId="77777777" w:rsidR="00AA6C32" w:rsidRDefault="00AA6C32" w:rsidP="00AA6C32"/>
    <w:p w14:paraId="5D307E7D" w14:textId="77777777" w:rsidR="00AA6C32" w:rsidRPr="00125D72" w:rsidRDefault="00AA6C32" w:rsidP="00AA6C32">
      <w:pPr>
        <w:pStyle w:val="Heading3"/>
      </w:pPr>
      <w:bookmarkStart w:id="127" w:name="_Toc130372883"/>
      <w:bookmarkStart w:id="128" w:name="_Toc131144701"/>
      <w:r w:rsidRPr="00125D72">
        <w:t>University law school tries to head off milestone Covid litigation conference – Covid lawsuits the next growth industry</w:t>
      </w:r>
      <w:bookmarkEnd w:id="127"/>
      <w:bookmarkEnd w:id="128"/>
    </w:p>
    <w:p w14:paraId="28717AF2" w14:textId="77777777" w:rsidR="00AA6C32" w:rsidRPr="00F465ED" w:rsidRDefault="00000000" w:rsidP="00AA6C32">
      <w:pPr>
        <w:pStyle w:val="day"/>
        <w:spacing w:before="0" w:beforeAutospacing="0" w:after="0" w:afterAutospacing="0" w:line="465" w:lineRule="atLeast"/>
        <w:textAlignment w:val="baseline"/>
        <w:rPr>
          <w:rFonts w:ascii="Trebuchet MS" w:hAnsi="Trebuchet MS"/>
          <w:b/>
          <w:bCs/>
          <w:caps/>
          <w:color w:val="FFFFFF"/>
        </w:rPr>
      </w:pPr>
      <w:hyperlink r:id="rId95" w:tooltip="Permanent Link to University law school tries to head off milestone Covid litigation conference – Covid lawsuits the next growth industry" w:history="1">
        <w:r w:rsidR="00AA6C32" w:rsidRPr="00F465ED">
          <w:rPr>
            <w:rStyle w:val="Hyperlink"/>
            <w:rFonts w:ascii="Trebuchet MS" w:eastAsiaTheme="majorEastAsia" w:hAnsi="Trebuchet MS"/>
            <w:caps/>
            <w:color w:val="FFFFFF"/>
            <w:bdr w:val="none" w:sz="0" w:space="0" w:color="auto" w:frame="1"/>
          </w:rPr>
          <w:t>AR 11</w:t>
        </w:r>
      </w:hyperlink>
    </w:p>
    <w:p w14:paraId="24866138" w14:textId="77777777" w:rsidR="00AA6C32" w:rsidRPr="00F465ED" w:rsidRDefault="00AA6C32" w:rsidP="00AA6C32">
      <w:pPr>
        <w:pStyle w:val="author"/>
        <w:shd w:val="clear" w:color="auto" w:fill="FFFFFF"/>
        <w:spacing w:before="0" w:beforeAutospacing="0" w:after="0" w:afterAutospacing="0" w:line="480" w:lineRule="atLeast"/>
        <w:textAlignment w:val="baseline"/>
        <w:rPr>
          <w:rFonts w:ascii="Trebuchet MS" w:hAnsi="Trebuchet MS"/>
          <w:color w:val="BBBBBB"/>
        </w:rPr>
      </w:pPr>
      <w:r w:rsidRPr="00F465ED">
        <w:rPr>
          <w:rFonts w:ascii="Trebuchet MS" w:hAnsi="Trebuchet MS"/>
          <w:color w:val="BBBBBB"/>
        </w:rPr>
        <w:t>Posted by </w:t>
      </w:r>
      <w:hyperlink r:id="rId96" w:tooltip="Posts by Editor, cairnsnews" w:history="1">
        <w:r w:rsidRPr="00F465ED">
          <w:rPr>
            <w:rStyle w:val="Hyperlink"/>
            <w:rFonts w:ascii="Trebuchet MS" w:eastAsiaTheme="majorEastAsia" w:hAnsi="Trebuchet MS"/>
            <w:color w:val="999999"/>
            <w:bdr w:val="none" w:sz="0" w:space="0" w:color="auto" w:frame="1"/>
          </w:rPr>
          <w:t xml:space="preserve">Editor, </w:t>
        </w:r>
        <w:proofErr w:type="spellStart"/>
        <w:r w:rsidRPr="00F465ED">
          <w:rPr>
            <w:rStyle w:val="Hyperlink"/>
            <w:rFonts w:ascii="Trebuchet MS" w:eastAsiaTheme="majorEastAsia" w:hAnsi="Trebuchet MS"/>
            <w:color w:val="999999"/>
            <w:bdr w:val="none" w:sz="0" w:space="0" w:color="auto" w:frame="1"/>
          </w:rPr>
          <w:t>cairnsnews</w:t>
        </w:r>
        <w:proofErr w:type="spellEnd"/>
      </w:hyperlink>
    </w:p>
    <w:p w14:paraId="524C69E0" w14:textId="77777777" w:rsidR="00AA6C32" w:rsidRDefault="00AA6C32" w:rsidP="00AA6C32"/>
    <w:p w14:paraId="5886899F" w14:textId="77777777" w:rsidR="00AA6C32" w:rsidRDefault="00000000" w:rsidP="00AA6C32">
      <w:hyperlink r:id="rId97" w:history="1">
        <w:r w:rsidR="00AA6C32" w:rsidRPr="0079755D">
          <w:rPr>
            <w:rStyle w:val="Hyperlink"/>
          </w:rPr>
          <w:t>https://cairnsnews.org/2023/03/11/university-law-school-tries-to-head-off-milestone-covid-litigation-conference-covid-lawsuits-the-next-growth-industry/</w:t>
        </w:r>
      </w:hyperlink>
    </w:p>
    <w:p w14:paraId="3C5A6B09" w14:textId="77777777" w:rsidR="00AA6C32" w:rsidRDefault="00AA6C32" w:rsidP="00AA6C32"/>
    <w:p w14:paraId="73C8FCAD" w14:textId="6A197B52" w:rsidR="00AA6C32" w:rsidRDefault="00AA6C32" w:rsidP="00AA6C32">
      <w:pPr>
        <w:pStyle w:val="Heading3"/>
      </w:pPr>
      <w:bookmarkStart w:id="129" w:name="_Toc130372884"/>
      <w:bookmarkStart w:id="130" w:name="_Toc131144702"/>
      <w:r w:rsidRPr="00F465ED">
        <w:t>Queensland's frontline workers begin series of legal challenges to COVID-19 vaccine mandate</w:t>
      </w:r>
      <w:bookmarkEnd w:id="129"/>
      <w:bookmarkEnd w:id="130"/>
    </w:p>
    <w:p w14:paraId="6E9CEE0D" w14:textId="77777777" w:rsidR="004421CB" w:rsidRPr="004421CB" w:rsidRDefault="004421CB" w:rsidP="004421CB"/>
    <w:p w14:paraId="009272D6" w14:textId="77777777" w:rsidR="00AA6C32" w:rsidRPr="00F465ED" w:rsidRDefault="00AA6C32" w:rsidP="00AA6C32">
      <w:pPr>
        <w:rPr>
          <w:rFonts w:ascii="Segoe UI" w:hAnsi="Segoe UI" w:cs="Segoe UI"/>
          <w:color w:val="000000"/>
          <w:szCs w:val="24"/>
        </w:rPr>
      </w:pPr>
      <w:r w:rsidRPr="00F465ED">
        <w:rPr>
          <w:rFonts w:ascii="Segoe UI" w:hAnsi="Segoe UI" w:cs="Segoe UI"/>
          <w:color w:val="000000"/>
          <w:szCs w:val="24"/>
        </w:rPr>
        <w:t>By </w:t>
      </w:r>
      <w:hyperlink r:id="rId98" w:history="1">
        <w:r w:rsidRPr="00F465ED">
          <w:rPr>
            <w:rStyle w:val="Hyperlink"/>
            <w:rFonts w:ascii="Segoe UI" w:hAnsi="Segoe UI" w:cs="Segoe UI"/>
            <w:szCs w:val="24"/>
          </w:rPr>
          <w:t xml:space="preserve">Talissa </w:t>
        </w:r>
        <w:proofErr w:type="spellStart"/>
        <w:r w:rsidRPr="00F465ED">
          <w:rPr>
            <w:rStyle w:val="Hyperlink"/>
            <w:rFonts w:ascii="Segoe UI" w:hAnsi="Segoe UI" w:cs="Segoe UI"/>
            <w:szCs w:val="24"/>
          </w:rPr>
          <w:t>Siganto</w:t>
        </w:r>
        <w:proofErr w:type="spellEnd"/>
      </w:hyperlink>
    </w:p>
    <w:p w14:paraId="0D4C2422" w14:textId="77777777" w:rsidR="00AA6C32" w:rsidRPr="00F465ED" w:rsidRDefault="00AA6C32" w:rsidP="00AA6C32">
      <w:pPr>
        <w:rPr>
          <w:rFonts w:ascii="Segoe UI" w:hAnsi="Segoe UI" w:cs="Segoe UI"/>
          <w:color w:val="000000"/>
          <w:szCs w:val="24"/>
        </w:rPr>
      </w:pPr>
      <w:r w:rsidRPr="00F465ED">
        <w:rPr>
          <w:rStyle w:val="ytllr"/>
          <w:rFonts w:ascii="Segoe UI" w:hAnsi="Segoe UI" w:cs="Segoe UI"/>
          <w:color w:val="000000"/>
          <w:szCs w:val="24"/>
        </w:rPr>
        <w:t>Posted </w:t>
      </w:r>
      <w:r w:rsidRPr="00F465ED">
        <w:rPr>
          <w:rFonts w:ascii="Segoe UI" w:hAnsi="Segoe UI" w:cs="Segoe UI"/>
          <w:color w:val="000000"/>
          <w:szCs w:val="24"/>
        </w:rPr>
        <w:t>Mon 30 May 2022 at 2:57pmMonday 30 May 2022 at 2:57pm, </w:t>
      </w:r>
      <w:r w:rsidRPr="00F465ED">
        <w:rPr>
          <w:rStyle w:val="ytllr"/>
          <w:rFonts w:ascii="Segoe UI" w:hAnsi="Segoe UI" w:cs="Segoe UI"/>
          <w:color w:val="000000"/>
          <w:szCs w:val="24"/>
        </w:rPr>
        <w:t>updated </w:t>
      </w:r>
      <w:r w:rsidRPr="00F465ED">
        <w:rPr>
          <w:rFonts w:ascii="Segoe UI" w:hAnsi="Segoe UI" w:cs="Segoe UI"/>
          <w:color w:val="000000"/>
          <w:szCs w:val="24"/>
        </w:rPr>
        <w:t>Mon 30 May 2022 at 3:00pm</w:t>
      </w:r>
    </w:p>
    <w:p w14:paraId="3D12DC28" w14:textId="77777777" w:rsidR="00AA6C32" w:rsidRDefault="00000000" w:rsidP="00AA6C32">
      <w:hyperlink r:id="rId99" w:history="1">
        <w:r w:rsidR="00AA6C32" w:rsidRPr="0079755D">
          <w:rPr>
            <w:rStyle w:val="Hyperlink"/>
          </w:rPr>
          <w:t>https://www.abc.net.au/news/2022-05-30/qld-coronavirus-covid19-vaccine-mandate-court-challenge/101110802</w:t>
        </w:r>
      </w:hyperlink>
    </w:p>
    <w:p w14:paraId="1794CB87" w14:textId="77777777" w:rsidR="00AA6C32" w:rsidRDefault="00AA6C32" w:rsidP="00AA6C32"/>
    <w:p w14:paraId="4250C5DF" w14:textId="77777777" w:rsidR="00AA6C32" w:rsidRDefault="00AA6C32" w:rsidP="00AA6C32">
      <w:r>
        <w:rPr>
          <w:noProof/>
        </w:rPr>
        <w:lastRenderedPageBreak/>
        <w:drawing>
          <wp:inline distT="0" distB="0" distL="0" distR="0" wp14:anchorId="0297B463" wp14:editId="3B75324C">
            <wp:extent cx="3036456" cy="103909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2006" cy="1068367"/>
                    </a:xfrm>
                    <a:prstGeom prst="rect">
                      <a:avLst/>
                    </a:prstGeom>
                    <a:noFill/>
                  </pic:spPr>
                </pic:pic>
              </a:graphicData>
            </a:graphic>
          </wp:inline>
        </w:drawing>
      </w:r>
    </w:p>
    <w:p w14:paraId="2FC3CEF5" w14:textId="77777777" w:rsidR="00AA6C32" w:rsidRDefault="00AA6C32" w:rsidP="00AA6C32">
      <w:pPr>
        <w:pStyle w:val="Heading1"/>
        <w:shd w:val="clear" w:color="auto" w:fill="3B2C46"/>
        <w:rPr>
          <w:rFonts w:cs="Arial"/>
          <w:color w:val="FEFEFE"/>
          <w:sz w:val="48"/>
        </w:rPr>
      </w:pPr>
      <w:bookmarkStart w:id="131" w:name="_Toc130372885"/>
      <w:bookmarkStart w:id="132" w:name="_Toc131144703"/>
      <w:r>
        <w:rPr>
          <w:rStyle w:val="field"/>
          <w:rFonts w:cs="Arial"/>
          <w:color w:val="FEFEFE"/>
        </w:rPr>
        <w:t>COVID-19 vaccinations and federal discrimination law</w:t>
      </w:r>
      <w:bookmarkEnd w:id="131"/>
      <w:bookmarkEnd w:id="132"/>
    </w:p>
    <w:p w14:paraId="05E769C5" w14:textId="77777777" w:rsidR="00AA6C32" w:rsidRDefault="00AA6C32" w:rsidP="00AA6C32">
      <w:pPr>
        <w:pStyle w:val="Heading3"/>
        <w:shd w:val="clear" w:color="auto" w:fill="F2F2F2"/>
        <w:rPr>
          <w:rFonts w:cs="Arial"/>
          <w:color w:val="1F1923"/>
          <w:sz w:val="27"/>
        </w:rPr>
      </w:pPr>
      <w:bookmarkStart w:id="133" w:name="_Toc130372886"/>
      <w:bookmarkStart w:id="134" w:name="_Toc131144704"/>
      <w:r>
        <w:rPr>
          <w:rFonts w:cs="Arial"/>
          <w:color w:val="1F1923"/>
        </w:rPr>
        <w:t>Summary</w:t>
      </w:r>
      <w:bookmarkEnd w:id="133"/>
      <w:bookmarkEnd w:id="134"/>
      <w:r>
        <w:rPr>
          <w:rFonts w:cs="Arial"/>
          <w:color w:val="1F1923"/>
        </w:rPr>
        <w:t> </w:t>
      </w:r>
    </w:p>
    <w:p w14:paraId="56A3CACD" w14:textId="4EA22525" w:rsidR="00B97BE8" w:rsidRDefault="00AA6C32" w:rsidP="00F73C35">
      <w:pPr>
        <w:pStyle w:val="NormalWeb"/>
        <w:shd w:val="clear" w:color="auto" w:fill="F2F2F2"/>
        <w:rPr>
          <w:rFonts w:ascii="Roboto" w:hAnsi="Roboto"/>
          <w:color w:val="1F1923"/>
          <w:sz w:val="26"/>
          <w:szCs w:val="26"/>
        </w:rPr>
      </w:pPr>
      <w:r>
        <w:rPr>
          <w:rFonts w:ascii="Roboto" w:hAnsi="Roboto"/>
          <w:color w:val="1F1923"/>
          <w:sz w:val="26"/>
          <w:szCs w:val="26"/>
        </w:rPr>
        <w:t>If there is no specific law requiring a person to be vaccinated, individuals, businesses and service providers are encouraged to obtain legal advice about their own specific circumstances, and to carefully consider the position of vulnerable groups in the community before imposing any blanket COVID-19 vaccination policies or conditions. These may have unintended consequences, particularly for some people with disability, and may also breach federal discrimination law.</w:t>
      </w:r>
    </w:p>
    <w:p w14:paraId="3D77DEF9" w14:textId="77777777" w:rsidR="00F55B8A" w:rsidRPr="00F73C35" w:rsidRDefault="00F55B8A" w:rsidP="00F73C35">
      <w:pPr>
        <w:pStyle w:val="NormalWeb"/>
        <w:shd w:val="clear" w:color="auto" w:fill="F2F2F2"/>
        <w:rPr>
          <w:rFonts w:ascii="Roboto" w:hAnsi="Roboto"/>
          <w:color w:val="1F1923"/>
          <w:sz w:val="26"/>
          <w:szCs w:val="26"/>
        </w:rPr>
      </w:pPr>
    </w:p>
    <w:p w14:paraId="1D1D52AA" w14:textId="65811832" w:rsidR="00B97BE8" w:rsidRDefault="001B5EA3" w:rsidP="001B5EA3">
      <w:pPr>
        <w:pStyle w:val="Heading1"/>
      </w:pPr>
      <w:bookmarkStart w:id="135" w:name="_Toc131144705"/>
      <w:r>
        <w:t>Legal Aid Queensland</w:t>
      </w:r>
      <w:bookmarkEnd w:id="135"/>
    </w:p>
    <w:p w14:paraId="6A0F818B" w14:textId="4BB8CE41" w:rsidR="001B5EA3" w:rsidRDefault="00712FF9" w:rsidP="001B5EA3">
      <w:pPr>
        <w:rPr>
          <w:rFonts w:cs="Arial"/>
        </w:rPr>
      </w:pPr>
      <w:r w:rsidRPr="00712FF9">
        <w:rPr>
          <w:rFonts w:cs="Arial"/>
          <w:noProof/>
        </w:rPr>
        <w:drawing>
          <wp:inline distT="0" distB="0" distL="0" distR="0" wp14:anchorId="4C831F22" wp14:editId="39F42DD1">
            <wp:extent cx="2817091" cy="870517"/>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30711" cy="874726"/>
                    </a:xfrm>
                    <a:prstGeom prst="rect">
                      <a:avLst/>
                    </a:prstGeom>
                  </pic:spPr>
                </pic:pic>
              </a:graphicData>
            </a:graphic>
          </wp:inline>
        </w:drawing>
      </w:r>
    </w:p>
    <w:p w14:paraId="6FE9A362" w14:textId="77777777" w:rsidR="001B5EA3" w:rsidRDefault="001B5EA3" w:rsidP="001B5EA3">
      <w:pPr>
        <w:pStyle w:val="Heading1"/>
      </w:pPr>
      <w:bookmarkStart w:id="136" w:name="_Toc131144706"/>
      <w:r>
        <w:t>Claxton legal</w:t>
      </w:r>
      <w:bookmarkEnd w:id="136"/>
    </w:p>
    <w:p w14:paraId="712DEA66" w14:textId="77777777" w:rsidR="001B5EA3" w:rsidRPr="00242BE0" w:rsidRDefault="001B5EA3" w:rsidP="001B5EA3"/>
    <w:p w14:paraId="09863861" w14:textId="77777777" w:rsidR="001B5EA3" w:rsidRDefault="00000000" w:rsidP="001B5EA3">
      <w:pPr>
        <w:rPr>
          <w:rFonts w:cs="Arial"/>
        </w:rPr>
      </w:pPr>
      <w:hyperlink r:id="rId102" w:history="1">
        <w:r w:rsidR="001B5EA3" w:rsidRPr="001001B2">
          <w:rPr>
            <w:rStyle w:val="Hyperlink"/>
            <w:rFonts w:cs="Arial"/>
          </w:rPr>
          <w:t>https://www.communitylegalqld.org.au/legal-help/caxton-legal-centre/</w:t>
        </w:r>
      </w:hyperlink>
    </w:p>
    <w:p w14:paraId="7D2D954F" w14:textId="77777777" w:rsidR="001B5EA3" w:rsidRPr="00C96038" w:rsidRDefault="001B5EA3" w:rsidP="001B5EA3">
      <w:pPr>
        <w:shd w:val="clear" w:color="auto" w:fill="FFFFFF"/>
        <w:spacing w:after="0" w:line="360" w:lineRule="atLeast"/>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b/>
          <w:bCs/>
          <w:color w:val="141414"/>
          <w:sz w:val="23"/>
          <w:szCs w:val="23"/>
          <w:lang w:eastAsia="en-AU"/>
        </w:rPr>
        <w:t>FOR CLIENTS: Client Services </w:t>
      </w:r>
      <w:r w:rsidRPr="00C96038">
        <w:rPr>
          <w:rFonts w:ascii="Roboto" w:eastAsia="Times New Roman" w:hAnsi="Roboto" w:cs="Times New Roman"/>
          <w:color w:val="141414"/>
          <w:sz w:val="23"/>
          <w:szCs w:val="23"/>
          <w:lang w:eastAsia="en-AU"/>
        </w:rPr>
        <w:t>will talk to you about what assistance you need and book an </w:t>
      </w:r>
      <w:r w:rsidRPr="00C96038">
        <w:rPr>
          <w:rFonts w:ascii="Roboto" w:eastAsia="Times New Roman" w:hAnsi="Roboto" w:cs="Times New Roman"/>
          <w:b/>
          <w:bCs/>
          <w:color w:val="141414"/>
          <w:sz w:val="23"/>
          <w:szCs w:val="23"/>
          <w:bdr w:val="none" w:sz="0" w:space="0" w:color="auto" w:frame="1"/>
          <w:lang w:eastAsia="en-AU"/>
        </w:rPr>
        <w:t>appointment</w:t>
      </w:r>
      <w:r w:rsidRPr="00C96038">
        <w:rPr>
          <w:rFonts w:ascii="Roboto" w:eastAsia="Times New Roman" w:hAnsi="Roboto" w:cs="Times New Roman"/>
          <w:color w:val="141414"/>
          <w:sz w:val="23"/>
          <w:szCs w:val="23"/>
          <w:lang w:eastAsia="en-AU"/>
        </w:rPr>
        <w:t> for the day or evening - call (07) 3214 6333.   Legal help is available for:</w:t>
      </w:r>
    </w:p>
    <w:p w14:paraId="58C6011E"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Domestic Violence and Elder Abuse</w:t>
      </w:r>
    </w:p>
    <w:p w14:paraId="3F25BAD5"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Family Law</w:t>
      </w:r>
    </w:p>
    <w:p w14:paraId="257D5C8A"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Consumer Credit and Debt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5553E7D5"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Employment Law and Sexual Harassment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0EF1BE15"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Discrimination and Human Rights</w:t>
      </w:r>
    </w:p>
    <w:p w14:paraId="6B15EE17"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General Civil and Criminal Law</w:t>
      </w:r>
    </w:p>
    <w:p w14:paraId="435BC69E"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 xml:space="preserve">Bail (Arthur </w:t>
      </w:r>
      <w:proofErr w:type="spellStart"/>
      <w:r w:rsidRPr="00C96038">
        <w:rPr>
          <w:rFonts w:ascii="Roboto" w:eastAsia="Times New Roman" w:hAnsi="Roboto" w:cs="Times New Roman"/>
          <w:color w:val="141414"/>
          <w:sz w:val="23"/>
          <w:szCs w:val="23"/>
          <w:lang w:eastAsia="en-AU"/>
        </w:rPr>
        <w:t>Gorrie</w:t>
      </w:r>
      <w:proofErr w:type="spellEnd"/>
      <w:r w:rsidRPr="00C96038">
        <w:rPr>
          <w:rFonts w:ascii="Roboto" w:eastAsia="Times New Roman" w:hAnsi="Roboto" w:cs="Times New Roman"/>
          <w:color w:val="141414"/>
          <w:sz w:val="23"/>
          <w:szCs w:val="23"/>
          <w:lang w:eastAsia="en-AU"/>
        </w:rPr>
        <w:t xml:space="preserve"> Correctional Centre, Brisbane Correctional Centre, Woodford Correctional Centre)</w:t>
      </w:r>
    </w:p>
    <w:p w14:paraId="32DF625B"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Coronial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3ECD176C"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Retirement Villages and Parks (</w:t>
      </w:r>
      <w:proofErr w:type="spellStart"/>
      <w:r w:rsidRPr="00C96038">
        <w:rPr>
          <w:rFonts w:ascii="Roboto" w:eastAsia="Times New Roman" w:hAnsi="Roboto" w:cs="Times New Roman"/>
          <w:color w:val="141414"/>
          <w:sz w:val="23"/>
          <w:szCs w:val="23"/>
          <w:lang w:eastAsia="en-AU"/>
        </w:rPr>
        <w:t>Statewide</w:t>
      </w:r>
      <w:proofErr w:type="spellEnd"/>
      <w:r w:rsidRPr="00C96038">
        <w:rPr>
          <w:rFonts w:ascii="Roboto" w:eastAsia="Times New Roman" w:hAnsi="Roboto" w:cs="Times New Roman"/>
          <w:color w:val="141414"/>
          <w:sz w:val="23"/>
          <w:szCs w:val="23"/>
          <w:lang w:eastAsia="en-AU"/>
        </w:rPr>
        <w:t>)</w:t>
      </w:r>
    </w:p>
    <w:p w14:paraId="5D086652" w14:textId="77777777" w:rsidR="001B5EA3" w:rsidRPr="00C96038" w:rsidRDefault="001B5EA3">
      <w:pPr>
        <w:numPr>
          <w:ilvl w:val="0"/>
          <w:numId w:val="21"/>
        </w:numPr>
        <w:shd w:val="clear" w:color="auto" w:fill="FFFFFF"/>
        <w:tabs>
          <w:tab w:val="clear" w:pos="1080"/>
          <w:tab w:val="num" w:pos="720"/>
        </w:tabs>
        <w:spacing w:after="0" w:line="240" w:lineRule="auto"/>
        <w:ind w:left="720"/>
        <w:textAlignment w:val="baseline"/>
        <w:rPr>
          <w:rFonts w:ascii="Roboto" w:eastAsia="Times New Roman" w:hAnsi="Roboto" w:cs="Times New Roman"/>
          <w:color w:val="141414"/>
          <w:sz w:val="23"/>
          <w:szCs w:val="23"/>
          <w:lang w:eastAsia="en-AU"/>
        </w:rPr>
      </w:pPr>
      <w:r w:rsidRPr="00C96038">
        <w:rPr>
          <w:rFonts w:ascii="Roboto" w:eastAsia="Times New Roman" w:hAnsi="Roboto" w:cs="Times New Roman"/>
          <w:color w:val="141414"/>
          <w:sz w:val="23"/>
          <w:szCs w:val="23"/>
          <w:lang w:eastAsia="en-AU"/>
        </w:rPr>
        <w:t>Social Work Supports</w:t>
      </w:r>
    </w:p>
    <w:p w14:paraId="264A3AB2" w14:textId="678E8357" w:rsidR="001B5EA3" w:rsidRDefault="001B5EA3" w:rsidP="001B5EA3">
      <w:pPr>
        <w:rPr>
          <w:rFonts w:cs="Arial"/>
        </w:rPr>
      </w:pPr>
    </w:p>
    <w:p w14:paraId="2FB25468" w14:textId="77777777" w:rsidR="00F55B8A" w:rsidRDefault="00F55B8A" w:rsidP="00F55B8A">
      <w:pPr>
        <w:pStyle w:val="Heading3"/>
        <w:shd w:val="clear" w:color="auto" w:fill="FFFFFF"/>
        <w:spacing w:before="161" w:after="161"/>
        <w:rPr>
          <w:rFonts w:ascii="Source Sans Pro" w:hAnsi="Source Sans Pro"/>
          <w:color w:val="474747"/>
          <w:sz w:val="27"/>
        </w:rPr>
      </w:pPr>
      <w:bookmarkStart w:id="137" w:name="_Toc131144707"/>
      <w:r>
        <w:rPr>
          <w:rFonts w:ascii="Source Sans Pro" w:hAnsi="Source Sans Pro"/>
          <w:color w:val="474747"/>
        </w:rPr>
        <w:lastRenderedPageBreak/>
        <w:t>Our legal information line</w:t>
      </w:r>
      <w:bookmarkEnd w:id="137"/>
    </w:p>
    <w:p w14:paraId="675CDCFD" w14:textId="77777777" w:rsidR="00F55B8A" w:rsidRDefault="00F55B8A" w:rsidP="00F55B8A">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To get legal help—</w:t>
      </w:r>
      <w:r>
        <w:rPr>
          <w:rStyle w:val="Strong"/>
          <w:rFonts w:ascii="Source Sans Pro" w:eastAsiaTheme="majorEastAsia" w:hAnsi="Source Sans Pro"/>
          <w:color w:val="474747"/>
        </w:rPr>
        <w:t>call Legal Aid Queensland on </w:t>
      </w:r>
      <w:hyperlink r:id="rId103" w:history="1">
        <w:r>
          <w:rPr>
            <w:rStyle w:val="Hyperlink"/>
            <w:rFonts w:ascii="Source Sans Pro" w:eastAsiaTheme="majorEastAsia" w:hAnsi="Source Sans Pro"/>
            <w:color w:val="005288"/>
          </w:rPr>
          <w:t>1300 65 11 88</w:t>
        </w:r>
      </w:hyperlink>
      <w:r>
        <w:rPr>
          <w:rFonts w:ascii="Source Sans Pro" w:hAnsi="Source Sans Pro"/>
          <w:color w:val="474747"/>
        </w:rPr>
        <w:t>—</w:t>
      </w:r>
      <w:r>
        <w:rPr>
          <w:rStyle w:val="Strong"/>
          <w:rFonts w:ascii="Source Sans Pro" w:eastAsiaTheme="majorEastAsia" w:hAnsi="Source Sans Pro"/>
          <w:color w:val="474747"/>
        </w:rPr>
        <w:t>Monday to Friday, 8:30am to 4:30pm</w:t>
      </w:r>
      <w:r>
        <w:rPr>
          <w:rFonts w:ascii="Source Sans Pro" w:hAnsi="Source Sans Pro"/>
          <w:color w:val="474747"/>
        </w:rPr>
        <w:t> (Australian Eastern Standard Time)—for the cost of a local call (from a landline in Australia), except for public holidays.</w:t>
      </w:r>
    </w:p>
    <w:p w14:paraId="615195B7" w14:textId="77777777" w:rsidR="00F55B8A" w:rsidRDefault="00F55B8A" w:rsidP="001B5EA3">
      <w:pPr>
        <w:rPr>
          <w:rFonts w:cs="Arial"/>
        </w:rPr>
      </w:pPr>
    </w:p>
    <w:p w14:paraId="7AEC3CD5" w14:textId="75EDB640" w:rsidR="00712FF9" w:rsidRDefault="001B5EA3">
      <w:pPr>
        <w:rPr>
          <w:rFonts w:cs="Arial"/>
        </w:rPr>
      </w:pPr>
      <w:r w:rsidRPr="001B5EA3">
        <w:rPr>
          <w:rFonts w:cs="Arial"/>
        </w:rPr>
        <w:t xml:space="preserve">Good morning Izak, please email a summary of your legal issue to caxton@caxton.org.au&lt;mailto:caxton@caxton.org.au&gt; and I will forward it to </w:t>
      </w:r>
      <w:proofErr w:type="spellStart"/>
      <w:r w:rsidRPr="001B5EA3">
        <w:rPr>
          <w:rFonts w:cs="Arial"/>
        </w:rPr>
        <w:t>Phylli</w:t>
      </w:r>
      <w:proofErr w:type="spellEnd"/>
      <w:r w:rsidRPr="001B5EA3">
        <w:rPr>
          <w:rFonts w:cs="Arial"/>
        </w:rPr>
        <w:t>. Thanks, Rachel - Caxton Legal</w:t>
      </w:r>
    </w:p>
    <w:p w14:paraId="3B75B8C0" w14:textId="2E3D6F33" w:rsidR="001B5EA3" w:rsidRDefault="001B5EA3">
      <w:pPr>
        <w:rPr>
          <w:rFonts w:cs="Arial"/>
        </w:rPr>
      </w:pPr>
    </w:p>
    <w:p w14:paraId="3180D067" w14:textId="77777777" w:rsidR="007D0CC2" w:rsidRDefault="007D0CC2" w:rsidP="007D0CC2">
      <w:pPr>
        <w:pStyle w:val="Heading3"/>
        <w:shd w:val="clear" w:color="auto" w:fill="FFFFFF"/>
        <w:spacing w:before="161" w:after="161"/>
        <w:rPr>
          <w:rFonts w:ascii="Source Sans Pro" w:hAnsi="Source Sans Pro"/>
          <w:color w:val="474747"/>
          <w:sz w:val="27"/>
        </w:rPr>
      </w:pPr>
      <w:bookmarkStart w:id="138" w:name="_Toc131144708"/>
      <w:r>
        <w:rPr>
          <w:rStyle w:val="Strong"/>
          <w:rFonts w:ascii="Source Sans Pro" w:hAnsi="Source Sans Pro"/>
          <w:b/>
          <w:bCs w:val="0"/>
          <w:color w:val="474747"/>
        </w:rPr>
        <w:t>Personal rights and safety</w:t>
      </w:r>
      <w:bookmarkEnd w:id="138"/>
    </w:p>
    <w:p w14:paraId="35C7D908"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104" w:tgtFrame="_self" w:history="1">
        <w:r w:rsidR="007D0CC2">
          <w:rPr>
            <w:rStyle w:val="Hyperlink"/>
            <w:rFonts w:ascii="Source Sans Pro" w:hAnsi="Source Sans Pro"/>
            <w:color w:val="005288"/>
          </w:rPr>
          <w:t>Discrimination</w:t>
        </w:r>
      </w:hyperlink>
      <w:r w:rsidR="007D0CC2">
        <w:rPr>
          <w:rFonts w:ascii="Source Sans Pro" w:hAnsi="Source Sans Pro"/>
          <w:color w:val="474747"/>
        </w:rPr>
        <w:t> and sexual harassment </w:t>
      </w:r>
    </w:p>
    <w:p w14:paraId="4EDDEB09"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105" w:history="1">
        <w:r w:rsidR="007D0CC2">
          <w:rPr>
            <w:rStyle w:val="Hyperlink"/>
            <w:rFonts w:ascii="Source Sans Pro" w:hAnsi="Source Sans Pro"/>
            <w:color w:val="005288"/>
          </w:rPr>
          <w:t>Human rights</w:t>
        </w:r>
      </w:hyperlink>
    </w:p>
    <w:p w14:paraId="328E9E06"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106" w:history="1">
        <w:r w:rsidR="007D0CC2">
          <w:rPr>
            <w:rStyle w:val="Hyperlink"/>
            <w:rFonts w:ascii="Source Sans Pro" w:hAnsi="Source Sans Pro"/>
            <w:color w:val="005288"/>
          </w:rPr>
          <w:t>Mental health treatment rights</w:t>
        </w:r>
      </w:hyperlink>
    </w:p>
    <w:p w14:paraId="24511948"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107" w:history="1">
        <w:r w:rsidR="007D0CC2">
          <w:rPr>
            <w:rStyle w:val="Hyperlink"/>
            <w:rFonts w:ascii="Source Sans Pro" w:hAnsi="Source Sans Pro"/>
            <w:color w:val="005288"/>
          </w:rPr>
          <w:t>Elder abuse</w:t>
        </w:r>
      </w:hyperlink>
    </w:p>
    <w:p w14:paraId="5643B579" w14:textId="77777777" w:rsidR="007D0CC2" w:rsidRDefault="00000000">
      <w:pPr>
        <w:numPr>
          <w:ilvl w:val="0"/>
          <w:numId w:val="43"/>
        </w:numPr>
        <w:shd w:val="clear" w:color="auto" w:fill="FFFFFF"/>
        <w:spacing w:beforeAutospacing="1" w:after="0" w:afterAutospacing="1" w:line="240" w:lineRule="auto"/>
        <w:rPr>
          <w:rFonts w:ascii="Source Sans Pro" w:hAnsi="Source Sans Pro"/>
          <w:color w:val="474747"/>
        </w:rPr>
      </w:pPr>
      <w:hyperlink r:id="rId108" w:history="1">
        <w:r w:rsidR="007D0CC2">
          <w:rPr>
            <w:rStyle w:val="Hyperlink"/>
            <w:rFonts w:ascii="Source Sans Pro" w:hAnsi="Source Sans Pro"/>
            <w:color w:val="005288"/>
          </w:rPr>
          <w:t>Protecting sexual assault counselling records</w:t>
        </w:r>
      </w:hyperlink>
    </w:p>
    <w:p w14:paraId="22CA5FC4" w14:textId="2EE26371" w:rsidR="00F55B8A" w:rsidRPr="00F77FCE" w:rsidRDefault="00000000">
      <w:pPr>
        <w:numPr>
          <w:ilvl w:val="0"/>
          <w:numId w:val="43"/>
        </w:numPr>
        <w:shd w:val="clear" w:color="auto" w:fill="FFFFFF"/>
        <w:spacing w:beforeAutospacing="1" w:after="0" w:afterAutospacing="1" w:line="240" w:lineRule="auto"/>
        <w:rPr>
          <w:rStyle w:val="Hyperlink"/>
          <w:rFonts w:ascii="Source Sans Pro" w:hAnsi="Source Sans Pro"/>
          <w:color w:val="474747"/>
          <w:u w:val="none"/>
        </w:rPr>
      </w:pPr>
      <w:hyperlink r:id="rId109" w:history="1">
        <w:r w:rsidR="007D0CC2">
          <w:rPr>
            <w:rStyle w:val="Hyperlink"/>
            <w:rFonts w:ascii="Source Sans Pro" w:hAnsi="Source Sans Pro"/>
            <w:color w:val="005288"/>
          </w:rPr>
          <w:t>Peace and good behaviour</w:t>
        </w:r>
      </w:hyperlink>
    </w:p>
    <w:p w14:paraId="3E0DBE51" w14:textId="304B0238" w:rsidR="00F77FCE" w:rsidRDefault="00F77FCE" w:rsidP="00F77FCE">
      <w:pPr>
        <w:shd w:val="clear" w:color="auto" w:fill="FFFFFF"/>
        <w:spacing w:beforeAutospacing="1" w:after="0" w:afterAutospacing="1" w:line="240" w:lineRule="auto"/>
        <w:rPr>
          <w:rStyle w:val="Hyperlink"/>
          <w:rFonts w:ascii="Source Sans Pro" w:hAnsi="Source Sans Pro"/>
          <w:color w:val="005288"/>
        </w:rPr>
      </w:pPr>
    </w:p>
    <w:p w14:paraId="4B6C287F" w14:textId="1129FA37" w:rsidR="00F77FCE" w:rsidRDefault="00F77FCE" w:rsidP="00F77FCE">
      <w:pPr>
        <w:pStyle w:val="Heading1"/>
        <w:spacing w:before="0" w:line="264" w:lineRule="atLeast"/>
        <w:rPr>
          <w:rFonts w:ascii="Poppins-Bold" w:hAnsi="Poppins-Bold" w:cs="Helvetica"/>
          <w:b w:val="0"/>
          <w:bCs/>
          <w:color w:val="005F92"/>
          <w:sz w:val="45"/>
          <w:szCs w:val="45"/>
        </w:rPr>
      </w:pPr>
      <w:r>
        <w:rPr>
          <w:rFonts w:ascii="Poppins-Bold" w:hAnsi="Poppins-Bold" w:cs="Helvetica"/>
          <w:b w:val="0"/>
          <w:bCs/>
          <w:color w:val="005F92"/>
          <w:sz w:val="45"/>
          <w:szCs w:val="45"/>
        </w:rPr>
        <w:t>Right to a lawyer</w:t>
      </w:r>
    </w:p>
    <w:p w14:paraId="1270C063" w14:textId="77777777" w:rsidR="00F77FCE" w:rsidRPr="00F77FCE" w:rsidRDefault="00F77FCE" w:rsidP="00F77FCE"/>
    <w:p w14:paraId="0F5A6CFA"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8.127  A defendant’s right to a lawyer does not have a particularly long history. People accused of a felony had no right to be represented by a lawyer at their trial until 1836.</w:t>
      </w:r>
      <w:bookmarkStart w:id="139" w:name="_ftnref176"/>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"_ftn176"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[176]</w:t>
      </w:r>
      <w:r>
        <w:rPr>
          <w:rFonts w:ascii="Poppins-Bold" w:hAnsi="Poppins-Bold" w:cs="Helvetica"/>
          <w:color w:val="000000"/>
          <w:spacing w:val="2"/>
          <w:sz w:val="14"/>
          <w:szCs w:val="14"/>
          <w:vertAlign w:val="superscript"/>
        </w:rPr>
        <w:fldChar w:fldCharType="end"/>
      </w:r>
      <w:bookmarkEnd w:id="139"/>
      <w:r>
        <w:rPr>
          <w:rFonts w:ascii="Helvetica" w:hAnsi="Helvetica" w:cs="Helvetica"/>
          <w:color w:val="000000"/>
          <w:spacing w:val="2"/>
        </w:rPr>
        <w:t> </w:t>
      </w:r>
      <w:proofErr w:type="spellStart"/>
      <w:r>
        <w:rPr>
          <w:rFonts w:ascii="Helvetica" w:hAnsi="Helvetica" w:cs="Helvetica"/>
          <w:color w:val="000000"/>
          <w:spacing w:val="2"/>
        </w:rPr>
        <w:t>Moisidis</w:t>
      </w:r>
      <w:proofErr w:type="spellEnd"/>
      <w:r>
        <w:rPr>
          <w:rFonts w:ascii="Helvetica" w:hAnsi="Helvetica" w:cs="Helvetica"/>
          <w:color w:val="000000"/>
          <w:spacing w:val="2"/>
        </w:rPr>
        <w:t xml:space="preserve"> explains that ‘English criminal procedure for centuries stood for the principle that an accused charged with a felony should not be represented by counsel’.</w:t>
      </w:r>
      <w:bookmarkStart w:id="140" w:name="_ftnref177"/>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"_ftn177"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[177]</w:t>
      </w:r>
      <w:r>
        <w:rPr>
          <w:rFonts w:ascii="Poppins-Bold" w:hAnsi="Poppins-Bold" w:cs="Helvetica"/>
          <w:color w:val="000000"/>
          <w:spacing w:val="2"/>
          <w:sz w:val="14"/>
          <w:szCs w:val="14"/>
          <w:vertAlign w:val="superscript"/>
        </w:rPr>
        <w:fldChar w:fldCharType="end"/>
      </w:r>
      <w:bookmarkEnd w:id="140"/>
      <w:r>
        <w:rPr>
          <w:rFonts w:ascii="Helvetica" w:hAnsi="Helvetica" w:cs="Helvetica"/>
          <w:color w:val="000000"/>
          <w:spacing w:val="2"/>
        </w:rPr>
        <w:t> The truth, it was thought, might be hidden behind the ‘artificial defence’ of a lawyer—better for the court to hear the accused speak for themselves and judge their manner and countenance.</w:t>
      </w:r>
      <w:bookmarkStart w:id="141" w:name="_ftnref178"/>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"_ftn178"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[178]</w:t>
      </w:r>
      <w:r>
        <w:rPr>
          <w:rFonts w:ascii="Poppins-Bold" w:hAnsi="Poppins-Bold" w:cs="Helvetica"/>
          <w:color w:val="000000"/>
          <w:spacing w:val="2"/>
          <w:sz w:val="14"/>
          <w:szCs w:val="14"/>
          <w:vertAlign w:val="superscript"/>
        </w:rPr>
        <w:fldChar w:fldCharType="end"/>
      </w:r>
      <w:bookmarkEnd w:id="141"/>
      <w:r>
        <w:rPr>
          <w:rFonts w:ascii="Helvetica" w:hAnsi="Helvetica" w:cs="Helvetica"/>
          <w:color w:val="000000"/>
          <w:spacing w:val="2"/>
        </w:rPr>
        <w:t> Therefore, up until the late 18th century, defendants would typically respond to accusations in person.</w:t>
      </w:r>
      <w:bookmarkStart w:id="142" w:name="_ftnref179"/>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"_ftn179"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[179]</w:t>
      </w:r>
      <w:r>
        <w:rPr>
          <w:rFonts w:ascii="Poppins-Bold" w:hAnsi="Poppins-Bold" w:cs="Helvetica"/>
          <w:color w:val="000000"/>
          <w:spacing w:val="2"/>
          <w:sz w:val="14"/>
          <w:szCs w:val="14"/>
          <w:vertAlign w:val="superscript"/>
        </w:rPr>
        <w:fldChar w:fldCharType="end"/>
      </w:r>
      <w:bookmarkEnd w:id="142"/>
    </w:p>
    <w:p w14:paraId="1B136852"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8.128  The right to a lawyer is now much more widely recognised and subject to relatively few restrictions, as discussed below. However, it is important to distinguish between two senses in which a person may be said to have a right to a lawyer. The first (negative) sense essentially means that no one may prevent a person from using a lawyer. The second (positive) sense essentially suggests that, governments have an obligation to provide a person with a lawyer, at the government’s expense, if necessary.</w:t>
      </w:r>
    </w:p>
    <w:p w14:paraId="5295DFCA"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8.129  Both of these types of rights are reflected in art 14 of the ICCPR, which provides, in part, that a defendant to a criminal charge must be:</w:t>
      </w:r>
    </w:p>
    <w:p w14:paraId="5AB72598"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 xml:space="preserve">tried in his presence, and to defend himself in person or through legal assistance of his own choosing; to be informed, if he does not have legal assistance, of this right; and to have legal assistance assigned to him, in </w:t>
      </w:r>
      <w:r>
        <w:rPr>
          <w:rFonts w:ascii="Poppins-Italic" w:hAnsi="Poppins-Italic" w:cs="Helvetica"/>
          <w:color w:val="000000"/>
          <w:spacing w:val="2"/>
        </w:rPr>
        <w:lastRenderedPageBreak/>
        <w:t>any case where the interests of justice so require, and without payment by him in any such case if he does not have sufficient means to pay for it.</w:t>
      </w:r>
    </w:p>
    <w:p w14:paraId="3F2A108F"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8.130  In Australia, the second type of right—to be provided a lawyer at the state’s expense—is less secure. In </w:t>
      </w:r>
      <w:r>
        <w:rPr>
          <w:rStyle w:val="Emphasis"/>
          <w:rFonts w:ascii="Poppins-Italic" w:hAnsi="Poppins-Italic" w:cs="Helvetica"/>
          <w:i w:val="0"/>
          <w:iCs w:val="0"/>
          <w:color w:val="000000"/>
          <w:spacing w:val="2"/>
        </w:rPr>
        <w:t>Dietrich v The Queen</w:t>
      </w:r>
      <w:r>
        <w:rPr>
          <w:rFonts w:ascii="Helvetica" w:hAnsi="Helvetica" w:cs="Helvetica"/>
          <w:color w:val="000000"/>
          <w:spacing w:val="2"/>
        </w:rPr>
        <w:t>, Mason CJ and McHugh J said:</w:t>
      </w:r>
    </w:p>
    <w:p w14:paraId="4BCA1DB5"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Australian law does not recognize that an indigent accused on trial for a serious criminal offence has a right to the provision of counsel at public expense. Instead, Australian law acknowledges that an accused has the right to a fair trial and that, depending on all the circumstances of the particular case, lack of representation may mean that an accused is unable to receive, or did not receive, a fair trial.</w:t>
      </w:r>
      <w:bookmarkStart w:id="143" w:name="_ftnref180"/>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"_ftn180"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[180]</w:t>
      </w:r>
      <w:r>
        <w:rPr>
          <w:rFonts w:ascii="Poppins-Bold" w:hAnsi="Poppins-Bold" w:cs="Helvetica"/>
          <w:color w:val="000000"/>
          <w:spacing w:val="2"/>
          <w:sz w:val="14"/>
          <w:szCs w:val="14"/>
          <w:vertAlign w:val="superscript"/>
        </w:rPr>
        <w:fldChar w:fldCharType="end"/>
      </w:r>
      <w:bookmarkEnd w:id="143"/>
    </w:p>
    <w:p w14:paraId="23E287D7"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8.131  The court held that the seriousness of the crime is an important consideration: ‘the desirability of an accused charged with a serious offence being represented is so great that we consider that the trial should proceed without representation for the accused in exceptional cases only’.</w:t>
      </w:r>
      <w:bookmarkStart w:id="144" w:name="_ftnref181"/>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"_ftn181"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[181]</w:t>
      </w:r>
      <w:r>
        <w:rPr>
          <w:rFonts w:ascii="Poppins-Bold" w:hAnsi="Poppins-Bold" w:cs="Helvetica"/>
          <w:color w:val="000000"/>
          <w:spacing w:val="2"/>
          <w:sz w:val="14"/>
          <w:szCs w:val="14"/>
          <w:vertAlign w:val="superscript"/>
        </w:rPr>
        <w:fldChar w:fldCharType="end"/>
      </w:r>
      <w:bookmarkEnd w:id="144"/>
      <w:r>
        <w:rPr>
          <w:rFonts w:ascii="Helvetica" w:hAnsi="Helvetica" w:cs="Helvetica"/>
          <w:color w:val="000000"/>
          <w:spacing w:val="2"/>
        </w:rPr>
        <w:t> Mason CJ and McHugh J also said that</w:t>
      </w:r>
    </w:p>
    <w:p w14:paraId="448209D6"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the courts possess undoubted power to stay criminal proceedings which will result in an unfair trial, the right to a fair trial being a central pillar of our criminal justice system. The power to grant a stay necessarily extends to a case in which representation of the accused by counsel is essential to a fair trial, as it is in most cases in which an accused is charged with a serious offence.</w:t>
      </w:r>
      <w:bookmarkStart w:id="145" w:name="_ftnref182"/>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"_ftn182"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[182]</w:t>
      </w:r>
      <w:r>
        <w:rPr>
          <w:rFonts w:ascii="Poppins-Bold" w:hAnsi="Poppins-Bold" w:cs="Helvetica"/>
          <w:color w:val="000000"/>
          <w:spacing w:val="2"/>
          <w:sz w:val="14"/>
          <w:szCs w:val="14"/>
          <w:vertAlign w:val="superscript"/>
        </w:rPr>
        <w:fldChar w:fldCharType="end"/>
      </w:r>
      <w:bookmarkEnd w:id="145"/>
    </w:p>
    <w:p w14:paraId="4BC04290"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8.132  While it is within judicial power to delay a trial or set aside a conviction on natural justice or procedural fairness grounds, it is questionable whether it is part of the judicial function to order government to provide a service.</w:t>
      </w:r>
    </w:p>
    <w:p w14:paraId="29C676C4"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8.133  The right to a lawyer is undermined—made considerably less useful—where communications between client and lawyer are monitored or may later be required to be disclosed. Chapter 12 discusses the importance of protecting lawyer-client confidentiality and statutory limits on legal professional privilege.</w:t>
      </w:r>
    </w:p>
    <w:p w14:paraId="3DC6F89F" w14:textId="77777777" w:rsidR="00F77FCE" w:rsidRDefault="00F77FCE" w:rsidP="00F77FCE">
      <w:pPr>
        <w:pStyle w:val="Heading3"/>
        <w:spacing w:before="0" w:line="264" w:lineRule="atLeast"/>
        <w:rPr>
          <w:rFonts w:ascii="Poppins-Bold" w:hAnsi="Poppins-Bold" w:cs="Helvetica"/>
          <w:b w:val="0"/>
          <w:color w:val="005F92"/>
          <w:sz w:val="24"/>
        </w:rPr>
      </w:pPr>
      <w:r>
        <w:rPr>
          <w:rFonts w:ascii="Poppins-Bold" w:hAnsi="Poppins-Bold" w:cs="Helvetica"/>
          <w:b w:val="0"/>
          <w:bCs/>
          <w:color w:val="005F92"/>
          <w:sz w:val="24"/>
        </w:rPr>
        <w:t>Laws that limit legal representation</w:t>
      </w:r>
    </w:p>
    <w:p w14:paraId="153CC72D"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8.134  The ALRC is not aware of any Commonwealth laws that limit a court’s power to stay proceedings in a serious criminal trial on the grounds that the accused is unrepresented and therefore will not have a fair trial.</w:t>
      </w:r>
    </w:p>
    <w:p w14:paraId="57B1D3E6"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8.135  Nevertheless, Commonwealth laws place limits on access to a lawyer. Under s 23G of the </w:t>
      </w:r>
      <w:r>
        <w:rPr>
          <w:rStyle w:val="Emphasis"/>
          <w:rFonts w:ascii="Poppins-Italic" w:hAnsi="Poppins-Italic" w:cs="Helvetica"/>
          <w:i w:val="0"/>
          <w:iCs w:val="0"/>
          <w:color w:val="000000"/>
          <w:spacing w:val="2"/>
        </w:rPr>
        <w:t>Crimes Act</w:t>
      </w:r>
      <w:r>
        <w:rPr>
          <w:rFonts w:ascii="Helvetica" w:hAnsi="Helvetica" w:cs="Helvetica"/>
          <w:color w:val="000000"/>
          <w:spacing w:val="2"/>
        </w:rPr>
        <w:t>, an arrested person has a right to communicate with a lawyer and have the lawyer present during questioning, but this is subject to exceptions, set out in s 23L. There are exceptions where an accomplice of the person may try to avoid apprehension or where contacting the legal practitioner may lead to the concealment, fabrication or destruction of evidence or the intimidation of a witness. There is also an exception for when questioning is considered so urgent, having regard to the safety of other people, that it cannot be delayed.</w:t>
      </w:r>
      <w:bookmarkStart w:id="146" w:name="_ftnref183"/>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"_ftn183"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[183]</w:t>
      </w:r>
      <w:r>
        <w:rPr>
          <w:rFonts w:ascii="Poppins-Bold" w:hAnsi="Poppins-Bold" w:cs="Helvetica"/>
          <w:color w:val="000000"/>
          <w:spacing w:val="2"/>
          <w:sz w:val="14"/>
          <w:szCs w:val="14"/>
          <w:vertAlign w:val="superscript"/>
        </w:rPr>
        <w:fldChar w:fldCharType="end"/>
      </w:r>
      <w:bookmarkEnd w:id="146"/>
    </w:p>
    <w:p w14:paraId="5C1B147E"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8.136  Although these exceptions may mean a person cannot in some circumstances see a lawyer of their own choosing, the person must nevertheless be offered the services of another lawyer.</w:t>
      </w:r>
      <w:bookmarkStart w:id="147" w:name="_ftnref184"/>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"_ftn184"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[184]</w:t>
      </w:r>
      <w:r>
        <w:rPr>
          <w:rFonts w:ascii="Poppins-Bold" w:hAnsi="Poppins-Bold" w:cs="Helvetica"/>
          <w:color w:val="000000"/>
          <w:spacing w:val="2"/>
          <w:sz w:val="14"/>
          <w:szCs w:val="14"/>
          <w:vertAlign w:val="superscript"/>
        </w:rPr>
        <w:fldChar w:fldCharType="end"/>
      </w:r>
      <w:bookmarkEnd w:id="147"/>
      <w:r>
        <w:rPr>
          <w:rFonts w:ascii="Helvetica" w:hAnsi="Helvetica" w:cs="Helvetica"/>
          <w:color w:val="000000"/>
          <w:spacing w:val="2"/>
        </w:rPr>
        <w:t> The ALRC has not received submissions suggesting that these limits are unjustified.</w:t>
      </w:r>
    </w:p>
    <w:p w14:paraId="15EDFBDE"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 xml:space="preserve">8.137  The Law Council criticised the limited access to a lawyer for persons subject to a preventative detention order under </w:t>
      </w:r>
      <w:proofErr w:type="spellStart"/>
      <w:r>
        <w:rPr>
          <w:rFonts w:ascii="Helvetica" w:hAnsi="Helvetica" w:cs="Helvetica"/>
          <w:color w:val="000000"/>
          <w:spacing w:val="2"/>
        </w:rPr>
        <w:t>pt</w:t>
      </w:r>
      <w:proofErr w:type="spellEnd"/>
      <w:r>
        <w:rPr>
          <w:rFonts w:ascii="Helvetica" w:hAnsi="Helvetica" w:cs="Helvetica"/>
          <w:color w:val="000000"/>
          <w:spacing w:val="2"/>
        </w:rPr>
        <w:t> 5.3 div 105 of the </w:t>
      </w:r>
      <w:r>
        <w:rPr>
          <w:rStyle w:val="Emphasis"/>
          <w:rFonts w:ascii="Poppins-Italic" w:hAnsi="Poppins-Italic" w:cs="Helvetica"/>
          <w:i w:val="0"/>
          <w:iCs w:val="0"/>
          <w:color w:val="000000"/>
          <w:spacing w:val="2"/>
        </w:rPr>
        <w:t>Criminal Code</w:t>
      </w:r>
      <w:r>
        <w:rPr>
          <w:rFonts w:ascii="Helvetica" w:hAnsi="Helvetica" w:cs="Helvetica"/>
          <w:color w:val="000000"/>
          <w:spacing w:val="2"/>
        </w:rPr>
        <w:t xml:space="preserve">, which enables a person to be taken into custody and detained by the Australian Federal </w:t>
      </w:r>
      <w:r>
        <w:rPr>
          <w:rFonts w:ascii="Helvetica" w:hAnsi="Helvetica" w:cs="Helvetica"/>
          <w:color w:val="000000"/>
          <w:spacing w:val="2"/>
        </w:rPr>
        <w:lastRenderedPageBreak/>
        <w:t>Police in a State or Territory prison or remand centre for an initial period of up to 24 hours:</w:t>
      </w:r>
    </w:p>
    <w:p w14:paraId="65E4422C" w14:textId="77777777" w:rsidR="00F77FCE" w:rsidRDefault="00F77FCE" w:rsidP="00F77FCE">
      <w:pPr>
        <w:pStyle w:val="NormalWeb"/>
        <w:spacing w:before="0" w:beforeAutospacing="0" w:after="0" w:afterAutospacing="0"/>
        <w:rPr>
          <w:rFonts w:ascii="Poppins-Italic" w:hAnsi="Poppins-Italic" w:cs="Helvetica"/>
          <w:color w:val="000000"/>
          <w:spacing w:val="2"/>
        </w:rPr>
      </w:pPr>
      <w:r>
        <w:rPr>
          <w:rFonts w:ascii="Poppins-Italic" w:hAnsi="Poppins-Italic" w:cs="Helvetica"/>
          <w:color w:val="000000"/>
          <w:spacing w:val="2"/>
        </w:rPr>
        <w:t>Preventative detention orders restrict detainees’ rights to legal representation by only allowing detainees access to legal representation for the limited purpose of obtaining advice or giving instructions regarding the issue of the order or treatment while in detention (Section 105.37 of the </w:t>
      </w:r>
      <w:r>
        <w:rPr>
          <w:rStyle w:val="Emphasis"/>
          <w:rFonts w:ascii="Poppins-Italic" w:hAnsi="Poppins-Italic" w:cs="Helvetica"/>
          <w:i w:val="0"/>
          <w:iCs w:val="0"/>
          <w:color w:val="000000"/>
          <w:spacing w:val="2"/>
        </w:rPr>
        <w:t>Criminal Code</w:t>
      </w:r>
      <w:r>
        <w:rPr>
          <w:rFonts w:ascii="Poppins-Italic" w:hAnsi="Poppins-Italic" w:cs="Helvetica"/>
          <w:color w:val="000000"/>
          <w:spacing w:val="2"/>
        </w:rPr>
        <w:t>). Contact with a lawyer for any other purpose is not permitted.</w:t>
      </w:r>
      <w:bookmarkStart w:id="148" w:name="_ftnref185"/>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"_ftn185"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[185]</w:t>
      </w:r>
      <w:r>
        <w:rPr>
          <w:rFonts w:ascii="Poppins-Bold" w:hAnsi="Poppins-Bold" w:cs="Helvetica"/>
          <w:color w:val="000000"/>
          <w:spacing w:val="2"/>
          <w:sz w:val="14"/>
          <w:szCs w:val="14"/>
          <w:vertAlign w:val="superscript"/>
        </w:rPr>
        <w:fldChar w:fldCharType="end"/>
      </w:r>
      <w:bookmarkEnd w:id="148"/>
    </w:p>
    <w:p w14:paraId="00CB799D"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8.138  Section 34ZO of the </w:t>
      </w:r>
      <w:r>
        <w:rPr>
          <w:rStyle w:val="Emphasis"/>
          <w:rFonts w:ascii="Poppins-Italic" w:hAnsi="Poppins-Italic" w:cs="Helvetica"/>
          <w:i w:val="0"/>
          <w:iCs w:val="0"/>
          <w:color w:val="000000"/>
          <w:spacing w:val="2"/>
        </w:rPr>
        <w:t>Australian Security Intelligence Organisation Act 1979 </w:t>
      </w:r>
      <w:r>
        <w:rPr>
          <w:rFonts w:ascii="Helvetica" w:hAnsi="Helvetica" w:cs="Helvetica"/>
          <w:color w:val="000000"/>
          <w:spacing w:val="2"/>
        </w:rPr>
        <w:t>(</w:t>
      </w:r>
      <w:proofErr w:type="spellStart"/>
      <w:r>
        <w:rPr>
          <w:rFonts w:ascii="Helvetica" w:hAnsi="Helvetica" w:cs="Helvetica"/>
          <w:color w:val="000000"/>
          <w:spacing w:val="2"/>
        </w:rPr>
        <w:t>Cth</w:t>
      </w:r>
      <w:proofErr w:type="spellEnd"/>
      <w:r>
        <w:rPr>
          <w:rFonts w:ascii="Helvetica" w:hAnsi="Helvetica" w:cs="Helvetica"/>
          <w:color w:val="000000"/>
          <w:spacing w:val="2"/>
        </w:rPr>
        <w:t>) limits a detained person’s contact with a lawyer; s 34ZP allows a detained person to be questioned without a lawyer; and s 34ZQ(9) allows for the removal of legal advisers whose conduct ‘the prescribed authority considers … is unduly disrupting the questioning’ of a detained person. However, s 34ZQ(10) provides that in the event of the removal of a person’s legal adviser, ‘the prescribed authority must also direct … that the subject may contact someone else’.</w:t>
      </w:r>
    </w:p>
    <w:p w14:paraId="19053788"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8.139  The right to have a lawyer of one’s own choosing may be limited by provisions in the </w:t>
      </w:r>
      <w:r>
        <w:rPr>
          <w:rStyle w:val="Emphasis"/>
          <w:rFonts w:ascii="Poppins-Italic" w:hAnsi="Poppins-Italic" w:cs="Helvetica"/>
          <w:i w:val="0"/>
          <w:iCs w:val="0"/>
          <w:color w:val="000000"/>
          <w:spacing w:val="2"/>
        </w:rPr>
        <w:t>NSI Act </w:t>
      </w:r>
      <w:r>
        <w:rPr>
          <w:rFonts w:ascii="Helvetica" w:hAnsi="Helvetica" w:cs="Helvetica"/>
          <w:color w:val="000000"/>
          <w:spacing w:val="2"/>
        </w:rPr>
        <w:t>that provide that parts of a proceeding may not be heard by, and certain information not given to, a lawyer for the defendant who does not have the appropriate level of security clearance.</w:t>
      </w:r>
      <w:bookmarkStart w:id="149" w:name="_ftnref186"/>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"_ftn186"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[186]</w:t>
      </w:r>
      <w:r>
        <w:rPr>
          <w:rFonts w:ascii="Poppins-Bold" w:hAnsi="Poppins-Bold" w:cs="Helvetica"/>
          <w:color w:val="000000"/>
          <w:spacing w:val="2"/>
          <w:sz w:val="14"/>
          <w:szCs w:val="14"/>
          <w:vertAlign w:val="superscript"/>
        </w:rPr>
        <w:fldChar w:fldCharType="end"/>
      </w:r>
      <w:bookmarkEnd w:id="149"/>
      <w:r>
        <w:rPr>
          <w:rFonts w:ascii="Helvetica" w:hAnsi="Helvetica" w:cs="Helvetica"/>
          <w:color w:val="000000"/>
          <w:spacing w:val="2"/>
        </w:rPr>
        <w:t> The Act also provides that the court may recommend that the defendant engage a lawyer who has been given, or is prepared to apply for, a security clearance.</w:t>
      </w:r>
      <w:bookmarkStart w:id="150" w:name="_ftnref187"/>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"_ftn187"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[187]</w:t>
      </w:r>
      <w:r>
        <w:rPr>
          <w:rFonts w:ascii="Poppins-Bold" w:hAnsi="Poppins-Bold" w:cs="Helvetica"/>
          <w:color w:val="000000"/>
          <w:spacing w:val="2"/>
          <w:sz w:val="14"/>
          <w:szCs w:val="14"/>
          <w:vertAlign w:val="superscript"/>
        </w:rPr>
        <w:fldChar w:fldCharType="end"/>
      </w:r>
      <w:bookmarkEnd w:id="150"/>
    </w:p>
    <w:p w14:paraId="7830186C"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8.140  This scheme has been criticised.</w:t>
      </w:r>
      <w:bookmarkStart w:id="151" w:name="_ftnref188"/>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"_ftn188"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[188]</w:t>
      </w:r>
      <w:r>
        <w:rPr>
          <w:rFonts w:ascii="Poppins-Bold" w:hAnsi="Poppins-Bold" w:cs="Helvetica"/>
          <w:color w:val="000000"/>
          <w:spacing w:val="2"/>
          <w:sz w:val="14"/>
          <w:szCs w:val="14"/>
          <w:vertAlign w:val="superscript"/>
        </w:rPr>
        <w:fldChar w:fldCharType="end"/>
      </w:r>
      <w:bookmarkEnd w:id="151"/>
      <w:r>
        <w:rPr>
          <w:rFonts w:ascii="Helvetica" w:hAnsi="Helvetica" w:cs="Helvetica"/>
          <w:color w:val="000000"/>
          <w:spacing w:val="2"/>
        </w:rPr>
        <w:t> The Law Council, for example, submitted that it restricts a person’s right to a lawyer of his or her choosing and ‘threatens the independence of the legal profession’.</w:t>
      </w:r>
      <w:bookmarkStart w:id="152" w:name="_ftnref189"/>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"_ftn189"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[189]</w:t>
      </w:r>
      <w:r>
        <w:rPr>
          <w:rFonts w:ascii="Poppins-Bold" w:hAnsi="Poppins-Bold" w:cs="Helvetica"/>
          <w:color w:val="000000"/>
          <w:spacing w:val="2"/>
          <w:sz w:val="14"/>
          <w:szCs w:val="14"/>
          <w:vertAlign w:val="superscript"/>
        </w:rPr>
        <w:fldChar w:fldCharType="end"/>
      </w:r>
      <w:bookmarkEnd w:id="152"/>
    </w:p>
    <w:p w14:paraId="6825DF88"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8.141  Some have suggested that ‘special advocates’—lawyers with a security clearance permitted to access classified information—could be appointed to represent defendants in certain circumstances.</w:t>
      </w:r>
      <w:bookmarkStart w:id="153" w:name="_ftnref190"/>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"_ftn190"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[190]</w:t>
      </w:r>
      <w:r>
        <w:rPr>
          <w:rFonts w:ascii="Poppins-Bold" w:hAnsi="Poppins-Bold" w:cs="Helvetica"/>
          <w:color w:val="000000"/>
          <w:spacing w:val="2"/>
          <w:sz w:val="14"/>
          <w:szCs w:val="14"/>
          <w:vertAlign w:val="superscript"/>
        </w:rPr>
        <w:fldChar w:fldCharType="end"/>
      </w:r>
      <w:bookmarkEnd w:id="153"/>
      <w:r>
        <w:rPr>
          <w:rFonts w:ascii="Helvetica" w:hAnsi="Helvetica" w:cs="Helvetica"/>
          <w:color w:val="000000"/>
          <w:spacing w:val="2"/>
        </w:rPr>
        <w:t> Special advocate regimes are found in Canada, New Zealand and the United Kingdom.</w:t>
      </w:r>
      <w:bookmarkStart w:id="154" w:name="_ftnref191"/>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"_ftn191"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[191]</w:t>
      </w:r>
      <w:r>
        <w:rPr>
          <w:rFonts w:ascii="Poppins-Bold" w:hAnsi="Poppins-Bold" w:cs="Helvetica"/>
          <w:color w:val="000000"/>
          <w:spacing w:val="2"/>
          <w:sz w:val="14"/>
          <w:szCs w:val="14"/>
          <w:vertAlign w:val="superscript"/>
        </w:rPr>
        <w:fldChar w:fldCharType="end"/>
      </w:r>
      <w:bookmarkEnd w:id="154"/>
    </w:p>
    <w:p w14:paraId="0FFD430B" w14:textId="77777777" w:rsidR="00F77FCE" w:rsidRDefault="00F77FCE" w:rsidP="00F77FCE">
      <w:pPr>
        <w:pStyle w:val="Heading3"/>
        <w:spacing w:before="0" w:line="264" w:lineRule="atLeast"/>
        <w:rPr>
          <w:rFonts w:ascii="Poppins-Bold" w:hAnsi="Poppins-Bold" w:cs="Helvetica"/>
          <w:b w:val="0"/>
          <w:color w:val="005F92"/>
          <w:sz w:val="24"/>
        </w:rPr>
      </w:pPr>
      <w:r>
        <w:rPr>
          <w:rFonts w:ascii="Poppins-Bold" w:hAnsi="Poppins-Bold" w:cs="Helvetica"/>
          <w:b w:val="0"/>
          <w:bCs/>
          <w:color w:val="005F92"/>
          <w:sz w:val="24"/>
        </w:rPr>
        <w:t>Legal aid and access to justice</w:t>
      </w:r>
    </w:p>
    <w:p w14:paraId="0201C049"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8.142  As discussed above, the positive right to be provided with a lawyer at the state’s expense is not a traditional common law right, but it is nonetheless very important—particularly, as the High Court has recognised, for those on trial for serious offences.</w:t>
      </w:r>
      <w:bookmarkStart w:id="155" w:name="_ftnref192"/>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"_ftn192"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[192]</w:t>
      </w:r>
      <w:r>
        <w:rPr>
          <w:rFonts w:ascii="Poppins-Bold" w:hAnsi="Poppins-Bold" w:cs="Helvetica"/>
          <w:color w:val="000000"/>
          <w:spacing w:val="2"/>
          <w:sz w:val="14"/>
          <w:szCs w:val="14"/>
          <w:vertAlign w:val="superscript"/>
        </w:rPr>
        <w:fldChar w:fldCharType="end"/>
      </w:r>
      <w:bookmarkEnd w:id="155"/>
      <w:r>
        <w:rPr>
          <w:rFonts w:ascii="Helvetica" w:hAnsi="Helvetica" w:cs="Helvetica"/>
          <w:color w:val="000000"/>
          <w:spacing w:val="2"/>
        </w:rPr>
        <w:t> Even if a court will order a stay of proceedings against an unrepresented defendant in a serious criminal trial, this may be of little assistance to those charged with non-serious offences. It will also not help victims of crimes and others who may seek access to justice but cannot afford to pay for legal representation. The focus of the fair trial rights in this chapter is on the rights of people accused of crimes, but this is not to discount the importance of access to justice more broadly.</w:t>
      </w:r>
    </w:p>
    <w:p w14:paraId="183A6858" w14:textId="77777777" w:rsidR="00F77FCE" w:rsidRDefault="00F77FCE" w:rsidP="00F77FCE">
      <w:pPr>
        <w:pStyle w:val="NormalWeb"/>
        <w:spacing w:before="0" w:beforeAutospacing="0" w:after="0" w:afterAutospacing="0"/>
        <w:rPr>
          <w:rFonts w:ascii="Helvetica" w:hAnsi="Helvetica" w:cs="Helvetica"/>
          <w:color w:val="000000"/>
          <w:spacing w:val="2"/>
        </w:rPr>
      </w:pPr>
      <w:r>
        <w:rPr>
          <w:rFonts w:ascii="Helvetica" w:hAnsi="Helvetica" w:cs="Helvetica"/>
          <w:color w:val="000000"/>
          <w:spacing w:val="2"/>
        </w:rPr>
        <w:t>8.143  The importance of funding for legal aid was raised by some stakeholders to this Inquiry. Women’s Legal Services Australia submitted that many of their clients cannot afford legal representation and legal aid funding is insufficient for their needs. These clients must either continue their legal action unrepresented or not pursue legal action.</w:t>
      </w:r>
      <w:bookmarkStart w:id="156" w:name="_ftnref193"/>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"_ftn193"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[193]</w:t>
      </w:r>
      <w:r>
        <w:rPr>
          <w:rFonts w:ascii="Poppins-Bold" w:hAnsi="Poppins-Bold" w:cs="Helvetica"/>
          <w:color w:val="000000"/>
          <w:spacing w:val="2"/>
          <w:sz w:val="14"/>
          <w:szCs w:val="14"/>
          <w:vertAlign w:val="superscript"/>
        </w:rPr>
        <w:fldChar w:fldCharType="end"/>
      </w:r>
      <w:bookmarkEnd w:id="156"/>
      <w:r>
        <w:rPr>
          <w:rFonts w:ascii="Helvetica" w:hAnsi="Helvetica" w:cs="Helvetica"/>
          <w:color w:val="000000"/>
          <w:spacing w:val="2"/>
        </w:rPr>
        <w:t> The Law Council said that ‘the right to a fair trial and effective access to justice is undermined by a failure of successive governments to commit sufficient resources to support legal assistance services, as evidenced by increasingly stringent restrictions on eligibility for legal aid’.</w:t>
      </w:r>
      <w:bookmarkStart w:id="157" w:name="_ftnref194"/>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"_ftn194"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[194]</w:t>
      </w:r>
      <w:r>
        <w:rPr>
          <w:rFonts w:ascii="Poppins-Bold" w:hAnsi="Poppins-Bold" w:cs="Helvetica"/>
          <w:color w:val="000000"/>
          <w:spacing w:val="2"/>
          <w:sz w:val="14"/>
          <w:szCs w:val="14"/>
          <w:vertAlign w:val="superscript"/>
        </w:rPr>
        <w:fldChar w:fldCharType="end"/>
      </w:r>
      <w:bookmarkEnd w:id="157"/>
      <w:r>
        <w:rPr>
          <w:rFonts w:ascii="Helvetica" w:hAnsi="Helvetica" w:cs="Helvetica"/>
          <w:color w:val="000000"/>
          <w:spacing w:val="2"/>
        </w:rPr>
        <w:t xml:space="preserve"> The Council stressed the importance of access to legal representation and highlighted some of the practical restrictions on access to legal aid, stating that ‘it is clear that under existing </w:t>
      </w:r>
      <w:r>
        <w:rPr>
          <w:rFonts w:ascii="Helvetica" w:hAnsi="Helvetica" w:cs="Helvetica"/>
          <w:color w:val="000000"/>
          <w:spacing w:val="2"/>
        </w:rPr>
        <w:lastRenderedPageBreak/>
        <w:t>guidelines it is possible to convict and imprison a person who is not deemed eligible for legal aid’.</w:t>
      </w:r>
      <w:bookmarkStart w:id="158" w:name="_ftnref195"/>
      <w:r>
        <w:rPr>
          <w:rFonts w:ascii="Poppins-Bold" w:hAnsi="Poppins-Bold" w:cs="Helvetica"/>
          <w:color w:val="000000"/>
          <w:spacing w:val="2"/>
          <w:sz w:val="14"/>
          <w:szCs w:val="14"/>
          <w:vertAlign w:val="superscript"/>
        </w:rPr>
        <w:fldChar w:fldCharType="begin"/>
      </w:r>
      <w:r>
        <w:rPr>
          <w:rFonts w:ascii="Poppins-Bold" w:hAnsi="Poppins-Bold" w:cs="Helvetica"/>
          <w:color w:val="000000"/>
          <w:spacing w:val="2"/>
          <w:sz w:val="14"/>
          <w:szCs w:val="14"/>
          <w:vertAlign w:val="superscript"/>
        </w:rPr>
        <w:instrText xml:space="preserve"> HYPERLINK "https://www.alrc.gov.au/publication/traditional-rights-and-freedoms-encroachments-by-commonwealth-laws-alrc-report-129/8-fair-trial-2/right-to-a-lawyer-2/" \l "_ftn195" \o "" </w:instrText>
      </w:r>
      <w:r>
        <w:rPr>
          <w:rFonts w:ascii="Poppins-Bold" w:hAnsi="Poppins-Bold" w:cs="Helvetica"/>
          <w:color w:val="000000"/>
          <w:spacing w:val="2"/>
          <w:sz w:val="14"/>
          <w:szCs w:val="14"/>
          <w:vertAlign w:val="superscript"/>
        </w:rPr>
      </w:r>
      <w:r>
        <w:rPr>
          <w:rFonts w:ascii="Poppins-Bold" w:hAnsi="Poppins-Bold" w:cs="Helvetica"/>
          <w:color w:val="000000"/>
          <w:spacing w:val="2"/>
          <w:sz w:val="14"/>
          <w:szCs w:val="14"/>
          <w:vertAlign w:val="superscript"/>
        </w:rPr>
        <w:fldChar w:fldCharType="separate"/>
      </w:r>
      <w:r>
        <w:rPr>
          <w:rStyle w:val="Hyperlink"/>
          <w:rFonts w:ascii="Poppins-Bold" w:eastAsiaTheme="majorEastAsia" w:hAnsi="Poppins-Bold" w:cs="Helvetica"/>
          <w:color w:val="005F92"/>
          <w:spacing w:val="2"/>
          <w:sz w:val="14"/>
          <w:szCs w:val="14"/>
          <w:vertAlign w:val="superscript"/>
        </w:rPr>
        <w:t>[195]</w:t>
      </w:r>
      <w:r>
        <w:rPr>
          <w:rFonts w:ascii="Poppins-Bold" w:hAnsi="Poppins-Bold" w:cs="Helvetica"/>
          <w:color w:val="000000"/>
          <w:spacing w:val="2"/>
          <w:sz w:val="14"/>
          <w:szCs w:val="14"/>
          <w:vertAlign w:val="superscript"/>
        </w:rPr>
        <w:fldChar w:fldCharType="end"/>
      </w:r>
      <w:bookmarkEnd w:id="158"/>
    </w:p>
    <w:p w14:paraId="13C1B7D0" w14:textId="77777777" w:rsidR="00F77FCE" w:rsidRDefault="00F77FCE" w:rsidP="00F77FCE">
      <w:r>
        <w:t>8.144  Access to justice has been the subject of many reports, in Australia and elsewhere, including recent reports by the Attorney-General’s Department</w:t>
      </w:r>
      <w:bookmarkStart w:id="159" w:name="_ftnref196"/>
      <w:r>
        <w:rPr>
          <w:rFonts w:ascii="Poppins-Bold" w:hAnsi="Poppins-Bold"/>
          <w:sz w:val="14"/>
          <w:szCs w:val="14"/>
          <w:vertAlign w:val="superscript"/>
        </w:rPr>
        <w:fldChar w:fldCharType="begin"/>
      </w:r>
      <w:r>
        <w:rPr>
          <w:rFonts w:ascii="Poppins-Bold" w:hAnsi="Poppins-Bold"/>
          <w:sz w:val="14"/>
          <w:szCs w:val="14"/>
          <w:vertAlign w:val="superscript"/>
        </w:rPr>
        <w:instrText xml:space="preserve"> HYPERLINK "https://www.alrc.gov.au/publication/traditional-rights-and-freedoms-encroachments-by-commonwealth-laws-alrc-report-129/8-fair-trial-2/right-to-a-lawyer-2/" \l "_ftn196" \o "" </w:instrText>
      </w:r>
      <w:r>
        <w:rPr>
          <w:rFonts w:ascii="Poppins-Bold" w:hAnsi="Poppins-Bold"/>
          <w:sz w:val="14"/>
          <w:szCs w:val="14"/>
          <w:vertAlign w:val="superscript"/>
        </w:rPr>
      </w:r>
      <w:r>
        <w:rPr>
          <w:rFonts w:ascii="Poppins-Bold" w:hAnsi="Poppins-Bold"/>
          <w:sz w:val="14"/>
          <w:szCs w:val="14"/>
          <w:vertAlign w:val="superscript"/>
        </w:rPr>
        <w:fldChar w:fldCharType="separate"/>
      </w:r>
      <w:r>
        <w:rPr>
          <w:rStyle w:val="Hyperlink"/>
          <w:rFonts w:ascii="Poppins-Bold" w:hAnsi="Poppins-Bold" w:cs="Helvetica"/>
          <w:color w:val="005F92"/>
          <w:spacing w:val="2"/>
          <w:sz w:val="14"/>
          <w:szCs w:val="14"/>
          <w:vertAlign w:val="superscript"/>
        </w:rPr>
        <w:t>[196]</w:t>
      </w:r>
      <w:r>
        <w:rPr>
          <w:rFonts w:ascii="Poppins-Bold" w:hAnsi="Poppins-Bold"/>
          <w:sz w:val="14"/>
          <w:szCs w:val="14"/>
          <w:vertAlign w:val="superscript"/>
        </w:rPr>
        <w:fldChar w:fldCharType="end"/>
      </w:r>
      <w:bookmarkEnd w:id="159"/>
      <w:r>
        <w:t> and the Productivity Commission.</w:t>
      </w:r>
      <w:bookmarkStart w:id="160" w:name="_ftnref197"/>
      <w:r>
        <w:rPr>
          <w:rFonts w:ascii="Poppins-Bold" w:hAnsi="Poppins-Bold"/>
          <w:sz w:val="14"/>
          <w:szCs w:val="14"/>
          <w:vertAlign w:val="superscript"/>
        </w:rPr>
        <w:fldChar w:fldCharType="begin"/>
      </w:r>
      <w:r>
        <w:rPr>
          <w:rFonts w:ascii="Poppins-Bold" w:hAnsi="Poppins-Bold"/>
          <w:sz w:val="14"/>
          <w:szCs w:val="14"/>
          <w:vertAlign w:val="superscript"/>
        </w:rPr>
        <w:instrText xml:space="preserve"> HYPERLINK "https://www.alrc.gov.au/publication/traditional-rights-and-freedoms-encroachments-by-commonwealth-laws-alrc-report-129/8-fair-trial-2/right-to-a-lawyer-2/" \l "_ftn197" \o "" </w:instrText>
      </w:r>
      <w:r>
        <w:rPr>
          <w:rFonts w:ascii="Poppins-Bold" w:hAnsi="Poppins-Bold"/>
          <w:sz w:val="14"/>
          <w:szCs w:val="14"/>
          <w:vertAlign w:val="superscript"/>
        </w:rPr>
      </w:r>
      <w:r>
        <w:rPr>
          <w:rFonts w:ascii="Poppins-Bold" w:hAnsi="Poppins-Bold"/>
          <w:sz w:val="14"/>
          <w:szCs w:val="14"/>
          <w:vertAlign w:val="superscript"/>
        </w:rPr>
        <w:fldChar w:fldCharType="separate"/>
      </w:r>
      <w:r>
        <w:rPr>
          <w:rStyle w:val="Hyperlink"/>
          <w:rFonts w:ascii="Poppins-Bold" w:hAnsi="Poppins-Bold" w:cs="Helvetica"/>
          <w:color w:val="005F92"/>
          <w:spacing w:val="2"/>
          <w:sz w:val="14"/>
          <w:szCs w:val="14"/>
          <w:vertAlign w:val="superscript"/>
        </w:rPr>
        <w:t>[197]</w:t>
      </w:r>
      <w:r>
        <w:rPr>
          <w:rFonts w:ascii="Poppins-Bold" w:hAnsi="Poppins-Bold"/>
          <w:sz w:val="14"/>
          <w:szCs w:val="14"/>
          <w:vertAlign w:val="superscript"/>
        </w:rPr>
        <w:fldChar w:fldCharType="end"/>
      </w:r>
      <w:bookmarkEnd w:id="160"/>
      <w:r>
        <w:t> The Law Council suggested that an ‘in-depth inquiry into the consequences of denials of legal assistance’ still needs to be conducted.</w:t>
      </w:r>
      <w:bookmarkStart w:id="161" w:name="_ftnref198"/>
      <w:r>
        <w:rPr>
          <w:rFonts w:ascii="Poppins-Bold" w:hAnsi="Poppins-Bold"/>
          <w:sz w:val="14"/>
          <w:szCs w:val="14"/>
          <w:vertAlign w:val="superscript"/>
        </w:rPr>
        <w:fldChar w:fldCharType="begin"/>
      </w:r>
      <w:r>
        <w:rPr>
          <w:rFonts w:ascii="Poppins-Bold" w:hAnsi="Poppins-Bold"/>
          <w:sz w:val="14"/>
          <w:szCs w:val="14"/>
          <w:vertAlign w:val="superscript"/>
        </w:rPr>
        <w:instrText xml:space="preserve"> HYPERLINK "https://www.alrc.gov.au/publication/traditional-rights-and-freedoms-encroachments-by-commonwealth-laws-alrc-report-129/8-fair-trial-2/right-to-a-lawyer-2/" \l "_ftn198" \o "" </w:instrText>
      </w:r>
      <w:r>
        <w:rPr>
          <w:rFonts w:ascii="Poppins-Bold" w:hAnsi="Poppins-Bold"/>
          <w:sz w:val="14"/>
          <w:szCs w:val="14"/>
          <w:vertAlign w:val="superscript"/>
        </w:rPr>
      </w:r>
      <w:r>
        <w:rPr>
          <w:rFonts w:ascii="Poppins-Bold" w:hAnsi="Poppins-Bold"/>
          <w:sz w:val="14"/>
          <w:szCs w:val="14"/>
          <w:vertAlign w:val="superscript"/>
        </w:rPr>
        <w:fldChar w:fldCharType="separate"/>
      </w:r>
      <w:r>
        <w:rPr>
          <w:rStyle w:val="Hyperlink"/>
          <w:rFonts w:ascii="Poppins-Bold" w:hAnsi="Poppins-Bold" w:cs="Helvetica"/>
          <w:color w:val="005F92"/>
          <w:spacing w:val="2"/>
          <w:sz w:val="14"/>
          <w:szCs w:val="14"/>
          <w:vertAlign w:val="superscript"/>
        </w:rPr>
        <w:t>[198]</w:t>
      </w:r>
      <w:r>
        <w:rPr>
          <w:rFonts w:ascii="Poppins-Bold" w:hAnsi="Poppins-Bold"/>
          <w:sz w:val="14"/>
          <w:szCs w:val="14"/>
          <w:vertAlign w:val="superscript"/>
        </w:rPr>
        <w:fldChar w:fldCharType="end"/>
      </w:r>
      <w:bookmarkEnd w:id="161"/>
    </w:p>
    <w:bookmarkStart w:id="162" w:name="_ftn176"/>
    <w:p w14:paraId="09B567C1"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"_ftnref176" \o "" </w:instrText>
      </w:r>
      <w:r>
        <w:fldChar w:fldCharType="separate"/>
      </w:r>
      <w:r>
        <w:rPr>
          <w:rStyle w:val="footnotes-number"/>
          <w:rFonts w:ascii="Poppins-Bold" w:hAnsi="Poppins-Bold" w:cs="Helvetica"/>
          <w:color w:val="005F92"/>
          <w:spacing w:val="2"/>
        </w:rPr>
        <w:t>[176]</w:t>
      </w:r>
      <w:r>
        <w:rPr>
          <w:rStyle w:val="Hyperlink"/>
          <w:rFonts w:ascii="Helvetica" w:hAnsi="Helvetica" w:cs="Helvetica"/>
          <w:color w:val="000000"/>
          <w:spacing w:val="2"/>
        </w:rPr>
        <w:t> </w:t>
      </w:r>
    </w:p>
    <w:p w14:paraId="0F5A0BA4" w14:textId="77777777" w:rsidR="00F77FCE" w:rsidRDefault="00F77FCE" w:rsidP="00F77FCE">
      <w:r>
        <w:rPr>
          <w:rStyle w:val="Emphasis"/>
          <w:rFonts w:ascii="Poppins-Italic" w:hAnsi="Poppins-Italic" w:cs="Helvetica"/>
          <w:i w:val="0"/>
          <w:iCs w:val="0"/>
          <w:color w:val="000000"/>
          <w:spacing w:val="2"/>
        </w:rPr>
        <w:t>Dietrich v The Queen</w:t>
      </w:r>
      <w:r>
        <w:t> (1992) 177 CLR 292, 317 (citations omitted). ‘The defendant could not have the assistance of counsel in presenting his case, unless there was a point of law arising on the indictment; since the point of law had to be assigned before counsel was allowed, the unlearned defendant had little chance of professional help’: Baker, above n 14, 417. ‘So the prosecutor could tell the jury why the defendant was guilty, but there was no advocate to say why he was not’: Bingham, above n 3.</w:t>
      </w:r>
    </w:p>
    <w:p w14:paraId="0C7D52B8" w14:textId="77777777" w:rsidR="00F77FCE" w:rsidRDefault="00F77FCE" w:rsidP="00F77FCE">
      <w:r>
        <w:fldChar w:fldCharType="end"/>
      </w:r>
      <w:bookmarkEnd w:id="162"/>
    </w:p>
    <w:bookmarkStart w:id="163" w:name="_ftn177"/>
    <w:p w14:paraId="3EDB22E7"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"_ftnref177" \o "" </w:instrText>
      </w:r>
      <w:r>
        <w:fldChar w:fldCharType="separate"/>
      </w:r>
      <w:r>
        <w:rPr>
          <w:rStyle w:val="footnotes-number"/>
          <w:rFonts w:ascii="Poppins-Bold" w:hAnsi="Poppins-Bold" w:cs="Helvetica"/>
          <w:color w:val="005F92"/>
          <w:spacing w:val="2"/>
        </w:rPr>
        <w:t>[177]</w:t>
      </w:r>
      <w:r>
        <w:rPr>
          <w:rStyle w:val="Hyperlink"/>
          <w:rFonts w:ascii="Helvetica" w:hAnsi="Helvetica" w:cs="Helvetica"/>
          <w:color w:val="000000"/>
          <w:spacing w:val="2"/>
        </w:rPr>
        <w:t> </w:t>
      </w:r>
    </w:p>
    <w:p w14:paraId="77D6CB63" w14:textId="77777777" w:rsidR="00F77FCE" w:rsidRDefault="00F77FCE" w:rsidP="00F77FCE">
      <w:proofErr w:type="spellStart"/>
      <w:r>
        <w:t>Moisidis</w:t>
      </w:r>
      <w:proofErr w:type="spellEnd"/>
      <w:r>
        <w:t>, above n 13, 10.</w:t>
      </w:r>
    </w:p>
    <w:p w14:paraId="06457C25" w14:textId="77777777" w:rsidR="00F77FCE" w:rsidRDefault="00F77FCE" w:rsidP="00F77FCE">
      <w:r>
        <w:fldChar w:fldCharType="end"/>
      </w:r>
      <w:bookmarkEnd w:id="163"/>
    </w:p>
    <w:bookmarkStart w:id="164" w:name="_ftn178"/>
    <w:p w14:paraId="32B84F90"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"_ftnref178" \o "" </w:instrText>
      </w:r>
      <w:r>
        <w:fldChar w:fldCharType="separate"/>
      </w:r>
      <w:r>
        <w:rPr>
          <w:rStyle w:val="footnotes-number"/>
          <w:rFonts w:ascii="Poppins-Bold" w:hAnsi="Poppins-Bold" w:cs="Helvetica"/>
          <w:color w:val="005F92"/>
          <w:spacing w:val="2"/>
        </w:rPr>
        <w:t>[178]</w:t>
      </w:r>
      <w:r>
        <w:rPr>
          <w:rStyle w:val="Hyperlink"/>
          <w:rFonts w:ascii="Helvetica" w:hAnsi="Helvetica" w:cs="Helvetica"/>
          <w:color w:val="000000"/>
          <w:spacing w:val="2"/>
        </w:rPr>
        <w:t> </w:t>
      </w:r>
    </w:p>
    <w:p w14:paraId="63D12306" w14:textId="77777777" w:rsidR="00F77FCE" w:rsidRDefault="00F77FCE" w:rsidP="00F77FCE">
      <w:r>
        <w:t>Ibid 9.</w:t>
      </w:r>
    </w:p>
    <w:p w14:paraId="6939839B" w14:textId="77777777" w:rsidR="00F77FCE" w:rsidRDefault="00F77FCE" w:rsidP="00F77FCE">
      <w:r>
        <w:fldChar w:fldCharType="end"/>
      </w:r>
      <w:bookmarkEnd w:id="164"/>
    </w:p>
    <w:bookmarkStart w:id="165" w:name="_ftn179"/>
    <w:p w14:paraId="5E7AB6C3"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"_ftnref179" \o "" </w:instrText>
      </w:r>
      <w:r>
        <w:fldChar w:fldCharType="separate"/>
      </w:r>
      <w:r>
        <w:rPr>
          <w:rStyle w:val="footnotes-number"/>
          <w:rFonts w:ascii="Poppins-Bold" w:hAnsi="Poppins-Bold" w:cs="Helvetica"/>
          <w:color w:val="005F92"/>
          <w:spacing w:val="2"/>
        </w:rPr>
        <w:t>[179]</w:t>
      </w:r>
      <w:r>
        <w:rPr>
          <w:rStyle w:val="Hyperlink"/>
          <w:rFonts w:ascii="Helvetica" w:hAnsi="Helvetica" w:cs="Helvetica"/>
          <w:color w:val="000000"/>
          <w:spacing w:val="2"/>
        </w:rPr>
        <w:t> </w:t>
      </w:r>
    </w:p>
    <w:p w14:paraId="24C22E6F" w14:textId="77777777" w:rsidR="00F77FCE" w:rsidRDefault="00F77FCE" w:rsidP="00F77FCE">
      <w:r>
        <w:t>Ibid 10.</w:t>
      </w:r>
    </w:p>
    <w:p w14:paraId="487C18C3" w14:textId="77777777" w:rsidR="00F77FCE" w:rsidRDefault="00F77FCE" w:rsidP="00F77FCE">
      <w:r>
        <w:fldChar w:fldCharType="end"/>
      </w:r>
      <w:bookmarkEnd w:id="165"/>
    </w:p>
    <w:bookmarkStart w:id="166" w:name="_ftn180"/>
    <w:p w14:paraId="5BCED2C5"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"_ftnref180" \o "" </w:instrText>
      </w:r>
      <w:r>
        <w:fldChar w:fldCharType="separate"/>
      </w:r>
      <w:r>
        <w:rPr>
          <w:rStyle w:val="footnotes-number"/>
          <w:rFonts w:ascii="Poppins-Bold" w:hAnsi="Poppins-Bold" w:cs="Helvetica"/>
          <w:color w:val="005F92"/>
          <w:spacing w:val="2"/>
        </w:rPr>
        <w:t>[180]</w:t>
      </w:r>
      <w:r>
        <w:rPr>
          <w:rStyle w:val="Hyperlink"/>
          <w:rFonts w:ascii="Helvetica" w:hAnsi="Helvetica" w:cs="Helvetica"/>
          <w:color w:val="000000"/>
          <w:spacing w:val="2"/>
        </w:rPr>
        <w:t> </w:t>
      </w:r>
    </w:p>
    <w:p w14:paraId="2878B8EB" w14:textId="77777777" w:rsidR="00F77FCE" w:rsidRDefault="00F77FCE" w:rsidP="00F77FCE">
      <w:r>
        <w:rPr>
          <w:rStyle w:val="Emphasis"/>
          <w:rFonts w:ascii="Poppins-Italic" w:hAnsi="Poppins-Italic" w:cs="Helvetica"/>
          <w:i w:val="0"/>
          <w:iCs w:val="0"/>
          <w:color w:val="000000"/>
          <w:spacing w:val="2"/>
        </w:rPr>
        <w:t>Dietrich v The Queen</w:t>
      </w:r>
      <w:r>
        <w:t> (1992) 177 CLR 292, 311.</w:t>
      </w:r>
    </w:p>
    <w:p w14:paraId="3A5AD1AF" w14:textId="77777777" w:rsidR="00F77FCE" w:rsidRDefault="00F77FCE" w:rsidP="00F77FCE">
      <w:r>
        <w:fldChar w:fldCharType="end"/>
      </w:r>
      <w:bookmarkEnd w:id="166"/>
    </w:p>
    <w:bookmarkStart w:id="167" w:name="_ftn181"/>
    <w:p w14:paraId="492AF6E6"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"_ftnref181" \o "" </w:instrText>
      </w:r>
      <w:r>
        <w:fldChar w:fldCharType="separate"/>
      </w:r>
      <w:r>
        <w:rPr>
          <w:rStyle w:val="footnotes-number"/>
          <w:rFonts w:ascii="Poppins-Bold" w:hAnsi="Poppins-Bold" w:cs="Helvetica"/>
          <w:color w:val="005F92"/>
          <w:spacing w:val="2"/>
        </w:rPr>
        <w:t>[181]</w:t>
      </w:r>
      <w:r>
        <w:rPr>
          <w:rStyle w:val="Hyperlink"/>
          <w:rFonts w:ascii="Helvetica" w:hAnsi="Helvetica" w:cs="Helvetica"/>
          <w:color w:val="000000"/>
          <w:spacing w:val="2"/>
        </w:rPr>
        <w:t> </w:t>
      </w:r>
    </w:p>
    <w:p w14:paraId="104EA49B" w14:textId="77777777" w:rsidR="00F77FCE" w:rsidRDefault="00F77FCE" w:rsidP="00F77FCE">
      <w:r>
        <w:t>Ibid.</w:t>
      </w:r>
    </w:p>
    <w:p w14:paraId="340D99FD" w14:textId="77777777" w:rsidR="00F77FCE" w:rsidRDefault="00F77FCE" w:rsidP="00F77FCE">
      <w:r>
        <w:fldChar w:fldCharType="end"/>
      </w:r>
      <w:bookmarkEnd w:id="167"/>
    </w:p>
    <w:bookmarkStart w:id="168" w:name="_ftn182"/>
    <w:p w14:paraId="08D943EC"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"_ftnref182" \o "" </w:instrText>
      </w:r>
      <w:r>
        <w:fldChar w:fldCharType="separate"/>
      </w:r>
      <w:r>
        <w:rPr>
          <w:rStyle w:val="footnotes-number"/>
          <w:rFonts w:ascii="Poppins-Bold" w:hAnsi="Poppins-Bold" w:cs="Helvetica"/>
          <w:color w:val="005F92"/>
          <w:spacing w:val="2"/>
        </w:rPr>
        <w:t>[182]</w:t>
      </w:r>
      <w:r>
        <w:rPr>
          <w:rStyle w:val="Hyperlink"/>
          <w:rFonts w:ascii="Helvetica" w:hAnsi="Helvetica" w:cs="Helvetica"/>
          <w:color w:val="000000"/>
          <w:spacing w:val="2"/>
        </w:rPr>
        <w:t> </w:t>
      </w:r>
    </w:p>
    <w:p w14:paraId="120F7361" w14:textId="77777777" w:rsidR="00F77FCE" w:rsidRDefault="00F77FCE" w:rsidP="00F77FCE">
      <w:r>
        <w:t>Ibid [1].</w:t>
      </w:r>
    </w:p>
    <w:p w14:paraId="75C9FE04" w14:textId="77777777" w:rsidR="00F77FCE" w:rsidRDefault="00F77FCE" w:rsidP="00F77FCE">
      <w:r>
        <w:fldChar w:fldCharType="end"/>
      </w:r>
      <w:bookmarkEnd w:id="168"/>
    </w:p>
    <w:bookmarkStart w:id="169" w:name="_ftn183"/>
    <w:p w14:paraId="6122DEFB"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"_ftnref183" \o "" </w:instrText>
      </w:r>
      <w:r>
        <w:fldChar w:fldCharType="separate"/>
      </w:r>
      <w:r>
        <w:rPr>
          <w:rStyle w:val="footnotes-number"/>
          <w:rFonts w:ascii="Poppins-Bold" w:hAnsi="Poppins-Bold" w:cs="Helvetica"/>
          <w:color w:val="005F92"/>
          <w:spacing w:val="2"/>
        </w:rPr>
        <w:t>[183]</w:t>
      </w:r>
      <w:r>
        <w:rPr>
          <w:rStyle w:val="Hyperlink"/>
          <w:rFonts w:ascii="Helvetica" w:hAnsi="Helvetica" w:cs="Helvetica"/>
          <w:color w:val="000000"/>
          <w:spacing w:val="2"/>
        </w:rPr>
        <w:t> </w:t>
      </w:r>
    </w:p>
    <w:p w14:paraId="11D12305" w14:textId="77777777" w:rsidR="00F77FCE" w:rsidRDefault="00F77FCE" w:rsidP="00F77FCE">
      <w:r>
        <w:rPr>
          <w:rStyle w:val="Emphasis"/>
          <w:rFonts w:ascii="Poppins-Italic" w:hAnsi="Poppins-Italic" w:cs="Helvetica"/>
          <w:i w:val="0"/>
          <w:iCs w:val="0"/>
          <w:color w:val="000000"/>
          <w:spacing w:val="2"/>
        </w:rPr>
        <w:lastRenderedPageBreak/>
        <w:t>Crimes Act</w:t>
      </w:r>
      <w:r>
        <w:t> </w:t>
      </w:r>
      <w:r>
        <w:rPr>
          <w:rStyle w:val="Emphasis"/>
          <w:rFonts w:ascii="Poppins-Italic" w:hAnsi="Poppins-Italic" w:cs="Helvetica"/>
          <w:i w:val="0"/>
          <w:iCs w:val="0"/>
          <w:color w:val="000000"/>
          <w:spacing w:val="2"/>
        </w:rPr>
        <w:t>1914</w:t>
      </w:r>
      <w:r>
        <w:t> (</w:t>
      </w:r>
      <w:proofErr w:type="spellStart"/>
      <w:r>
        <w:t>Cth</w:t>
      </w:r>
      <w:proofErr w:type="spellEnd"/>
      <w:r>
        <w:t>) s 23L(1)(b). See also Senate Standing Committee for the Scrutiny of Bills, Parliament of Australia, </w:t>
      </w:r>
      <w:r>
        <w:rPr>
          <w:rStyle w:val="Emphasis"/>
          <w:rFonts w:ascii="Poppins-Italic" w:hAnsi="Poppins-Italic" w:cs="Helvetica"/>
          <w:i w:val="0"/>
          <w:iCs w:val="0"/>
          <w:color w:val="000000"/>
          <w:spacing w:val="2"/>
        </w:rPr>
        <w:t>12th Report of 2002</w:t>
      </w:r>
      <w:r>
        <w:t> (October 2002) 416.</w:t>
      </w:r>
    </w:p>
    <w:p w14:paraId="1F393682" w14:textId="77777777" w:rsidR="00F77FCE" w:rsidRDefault="00F77FCE" w:rsidP="00F77FCE">
      <w:r>
        <w:fldChar w:fldCharType="end"/>
      </w:r>
      <w:bookmarkEnd w:id="169"/>
    </w:p>
    <w:bookmarkStart w:id="170" w:name="_ftn184"/>
    <w:p w14:paraId="70ECDBD6"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"_ftnref184" \o "" </w:instrText>
      </w:r>
      <w:r>
        <w:fldChar w:fldCharType="separate"/>
      </w:r>
      <w:r>
        <w:rPr>
          <w:rStyle w:val="footnotes-number"/>
          <w:rFonts w:ascii="Poppins-Bold" w:hAnsi="Poppins-Bold" w:cs="Helvetica"/>
          <w:color w:val="005F92"/>
          <w:spacing w:val="2"/>
        </w:rPr>
        <w:t>[184]</w:t>
      </w:r>
      <w:r>
        <w:rPr>
          <w:rStyle w:val="Hyperlink"/>
          <w:rFonts w:ascii="Helvetica" w:hAnsi="Helvetica" w:cs="Helvetica"/>
          <w:color w:val="000000"/>
          <w:spacing w:val="2"/>
        </w:rPr>
        <w:t> </w:t>
      </w:r>
    </w:p>
    <w:p w14:paraId="49BA8CF0" w14:textId="77777777" w:rsidR="00F77FCE" w:rsidRDefault="00F77FCE" w:rsidP="00F77FCE">
      <w:r>
        <w:t>The investigating official ‘must offer the services of another legal practitioner and, if the person accepts, make the necessary arrangements’: </w:t>
      </w:r>
      <w:r>
        <w:rPr>
          <w:rStyle w:val="Emphasis"/>
          <w:rFonts w:ascii="Poppins-Italic" w:hAnsi="Poppins-Italic" w:cs="Helvetica"/>
          <w:i w:val="0"/>
          <w:iCs w:val="0"/>
          <w:color w:val="000000"/>
          <w:spacing w:val="2"/>
        </w:rPr>
        <w:t>Crimes Act</w:t>
      </w:r>
      <w:r>
        <w:t> </w:t>
      </w:r>
      <w:r>
        <w:rPr>
          <w:rStyle w:val="Emphasis"/>
          <w:rFonts w:ascii="Poppins-Italic" w:hAnsi="Poppins-Italic" w:cs="Helvetica"/>
          <w:i w:val="0"/>
          <w:iCs w:val="0"/>
          <w:color w:val="000000"/>
          <w:spacing w:val="2"/>
        </w:rPr>
        <w:t>1914</w:t>
      </w:r>
      <w:r>
        <w:t> (</w:t>
      </w:r>
      <w:proofErr w:type="spellStart"/>
      <w:r>
        <w:t>Cth</w:t>
      </w:r>
      <w:proofErr w:type="spellEnd"/>
      <w:r>
        <w:t>) s 23L(4).</w:t>
      </w:r>
    </w:p>
    <w:p w14:paraId="14BDB81E" w14:textId="77777777" w:rsidR="00F77FCE" w:rsidRDefault="00F77FCE" w:rsidP="00F77FCE">
      <w:r>
        <w:fldChar w:fldCharType="end"/>
      </w:r>
      <w:bookmarkEnd w:id="170"/>
    </w:p>
    <w:bookmarkStart w:id="171" w:name="_ftn185"/>
    <w:p w14:paraId="4D4D2413"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"_ftnref185" \o "" </w:instrText>
      </w:r>
      <w:r>
        <w:fldChar w:fldCharType="separate"/>
      </w:r>
      <w:r>
        <w:rPr>
          <w:rStyle w:val="footnotes-number"/>
          <w:rFonts w:ascii="Poppins-Bold" w:hAnsi="Poppins-Bold" w:cs="Helvetica"/>
          <w:color w:val="005F92"/>
          <w:spacing w:val="2"/>
        </w:rPr>
        <w:t>[185]</w:t>
      </w:r>
      <w:r>
        <w:rPr>
          <w:rStyle w:val="Hyperlink"/>
          <w:rFonts w:ascii="Helvetica" w:hAnsi="Helvetica" w:cs="Helvetica"/>
          <w:color w:val="000000"/>
          <w:spacing w:val="2"/>
        </w:rPr>
        <w:t> </w:t>
      </w:r>
    </w:p>
    <w:p w14:paraId="236DCA31"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 The Law Council also said that ‘both the content and the meaning of communication between a lawyer and a detained person can be monitored. Such restrictions could create unfairness to the person under suspicion by preventing a full and frank discussion between a client and his or her lawyer and the ability to receive relevant legal advice’: Ibid. See Ch 12.</w:t>
      </w:r>
    </w:p>
    <w:p w14:paraId="45F272BF" w14:textId="77777777" w:rsidR="00F77FCE" w:rsidRDefault="00F77FCE" w:rsidP="00F77FCE">
      <w:r>
        <w:fldChar w:fldCharType="end"/>
      </w:r>
      <w:bookmarkEnd w:id="171"/>
    </w:p>
    <w:bookmarkStart w:id="172" w:name="_ftn186"/>
    <w:p w14:paraId="0128E507"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"_ftnref186" \o "" </w:instrText>
      </w:r>
      <w:r>
        <w:fldChar w:fldCharType="separate"/>
      </w:r>
      <w:r>
        <w:rPr>
          <w:rStyle w:val="footnotes-number"/>
          <w:rFonts w:ascii="Poppins-Bold" w:hAnsi="Poppins-Bold" w:cs="Helvetica"/>
          <w:color w:val="005F92"/>
          <w:spacing w:val="2"/>
        </w:rPr>
        <w:t>[186]</w:t>
      </w:r>
      <w:r>
        <w:rPr>
          <w:rStyle w:val="Hyperlink"/>
          <w:rFonts w:ascii="Helvetica" w:hAnsi="Helvetica" w:cs="Helvetica"/>
          <w:color w:val="000000"/>
          <w:spacing w:val="2"/>
        </w:rPr>
        <w:t> </w:t>
      </w:r>
    </w:p>
    <w:p w14:paraId="18E6F6A4" w14:textId="77777777" w:rsidR="00F77FCE" w:rsidRDefault="00F77FCE" w:rsidP="00F77FCE">
      <w:r>
        <w:t xml:space="preserve">See, </w:t>
      </w:r>
      <w:proofErr w:type="spellStart"/>
      <w:r>
        <w:t>eg</w:t>
      </w:r>
      <w:proofErr w:type="spellEnd"/>
      <w:r>
        <w:t>, </w:t>
      </w:r>
      <w:r>
        <w:rPr>
          <w:rStyle w:val="Emphasis"/>
          <w:rFonts w:ascii="Poppins-Italic" w:hAnsi="Poppins-Italic" w:cs="Helvetica"/>
          <w:i w:val="0"/>
          <w:iCs w:val="0"/>
          <w:color w:val="000000"/>
          <w:spacing w:val="2"/>
        </w:rPr>
        <w:t>National Security Information (Criminal and Civil Proceedings) Act</w:t>
      </w:r>
      <w:r>
        <w:t> </w:t>
      </w:r>
      <w:r>
        <w:rPr>
          <w:rStyle w:val="Emphasis"/>
          <w:rFonts w:ascii="Poppins-Italic" w:hAnsi="Poppins-Italic" w:cs="Helvetica"/>
          <w:i w:val="0"/>
          <w:iCs w:val="0"/>
          <w:color w:val="000000"/>
          <w:spacing w:val="2"/>
        </w:rPr>
        <w:t>2004</w:t>
      </w:r>
      <w:r>
        <w:t> (</w:t>
      </w:r>
      <w:proofErr w:type="spellStart"/>
      <w:r>
        <w:t>Cth</w:t>
      </w:r>
      <w:proofErr w:type="spellEnd"/>
      <w:r>
        <w:t>) ss 29, 39, 46.</w:t>
      </w:r>
    </w:p>
    <w:p w14:paraId="6F90B4CA" w14:textId="77777777" w:rsidR="00F77FCE" w:rsidRDefault="00F77FCE" w:rsidP="00F77FCE">
      <w:r>
        <w:fldChar w:fldCharType="end"/>
      </w:r>
      <w:bookmarkEnd w:id="172"/>
    </w:p>
    <w:bookmarkStart w:id="173" w:name="_ftn187"/>
    <w:p w14:paraId="1D748C1A"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"_ftnref187" \o "" </w:instrText>
      </w:r>
      <w:r>
        <w:fldChar w:fldCharType="separate"/>
      </w:r>
      <w:r>
        <w:rPr>
          <w:rStyle w:val="footnotes-number"/>
          <w:rFonts w:ascii="Poppins-Bold" w:hAnsi="Poppins-Bold" w:cs="Helvetica"/>
          <w:color w:val="005F92"/>
          <w:spacing w:val="2"/>
        </w:rPr>
        <w:t>[187]</w:t>
      </w:r>
      <w:r>
        <w:rPr>
          <w:rStyle w:val="Hyperlink"/>
          <w:rFonts w:ascii="Helvetica" w:hAnsi="Helvetica" w:cs="Helvetica"/>
          <w:color w:val="000000"/>
          <w:spacing w:val="2"/>
        </w:rPr>
        <w:t> </w:t>
      </w:r>
    </w:p>
    <w:p w14:paraId="1B2F9418" w14:textId="77777777" w:rsidR="00F77FCE" w:rsidRDefault="00F77FCE" w:rsidP="00F77FCE">
      <w:r>
        <w:t>Ibid s 39(5).</w:t>
      </w:r>
    </w:p>
    <w:p w14:paraId="0B511D9C" w14:textId="77777777" w:rsidR="00F77FCE" w:rsidRDefault="00F77FCE" w:rsidP="00F77FCE">
      <w:r>
        <w:fldChar w:fldCharType="end"/>
      </w:r>
      <w:bookmarkEnd w:id="173"/>
    </w:p>
    <w:bookmarkStart w:id="174" w:name="_ftn188"/>
    <w:p w14:paraId="41E9A8B0"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"_ftnref188" \o "" </w:instrText>
      </w:r>
      <w:r>
        <w:fldChar w:fldCharType="separate"/>
      </w:r>
      <w:r>
        <w:rPr>
          <w:rStyle w:val="footnotes-number"/>
          <w:rFonts w:ascii="Poppins-Bold" w:hAnsi="Poppins-Bold" w:cs="Helvetica"/>
          <w:color w:val="005F92"/>
          <w:spacing w:val="2"/>
        </w:rPr>
        <w:t>[188]</w:t>
      </w:r>
      <w:r>
        <w:rPr>
          <w:rStyle w:val="Hyperlink"/>
          <w:rFonts w:ascii="Helvetica" w:hAnsi="Helvetica" w:cs="Helvetica"/>
          <w:color w:val="000000"/>
          <w:spacing w:val="2"/>
        </w:rPr>
        <w:t> </w:t>
      </w:r>
    </w:p>
    <w:p w14:paraId="3BF93890"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 Councils for Civil Liberties, </w:t>
      </w:r>
      <w:r>
        <w:rPr>
          <w:rStyle w:val="Emphasis"/>
          <w:rFonts w:ascii="Poppins-Italic" w:hAnsi="Poppins-Italic" w:cs="Helvetica"/>
          <w:i w:val="0"/>
          <w:iCs w:val="0"/>
          <w:color w:val="000000"/>
          <w:spacing w:val="2"/>
        </w:rPr>
        <w:t>Submission 142</w:t>
      </w:r>
      <w:r>
        <w:t>.</w:t>
      </w:r>
    </w:p>
    <w:p w14:paraId="62FBB0DF" w14:textId="77777777" w:rsidR="00F77FCE" w:rsidRDefault="00F77FCE" w:rsidP="00F77FCE">
      <w:r>
        <w:fldChar w:fldCharType="end"/>
      </w:r>
      <w:bookmarkEnd w:id="174"/>
    </w:p>
    <w:bookmarkStart w:id="175" w:name="_ftn189"/>
    <w:p w14:paraId="6CBD3C91"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"_ftnref189" \o "" </w:instrText>
      </w:r>
      <w:r>
        <w:fldChar w:fldCharType="separate"/>
      </w:r>
      <w:r>
        <w:rPr>
          <w:rStyle w:val="footnotes-number"/>
          <w:rFonts w:ascii="Poppins-Bold" w:hAnsi="Poppins-Bold" w:cs="Helvetica"/>
          <w:color w:val="005F92"/>
          <w:spacing w:val="2"/>
        </w:rPr>
        <w:t>[189]</w:t>
      </w:r>
      <w:r>
        <w:rPr>
          <w:rStyle w:val="Hyperlink"/>
          <w:rFonts w:ascii="Helvetica" w:hAnsi="Helvetica" w:cs="Helvetica"/>
          <w:color w:val="000000"/>
          <w:spacing w:val="2"/>
        </w:rPr>
        <w:t> </w:t>
      </w:r>
    </w:p>
    <w:p w14:paraId="32C9738C"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w:t>
      </w:r>
    </w:p>
    <w:p w14:paraId="756298D9" w14:textId="77777777" w:rsidR="00F77FCE" w:rsidRDefault="00F77FCE" w:rsidP="00F77FCE">
      <w:r>
        <w:fldChar w:fldCharType="end"/>
      </w:r>
      <w:bookmarkEnd w:id="175"/>
    </w:p>
    <w:bookmarkStart w:id="176" w:name="_ftn190"/>
    <w:p w14:paraId="628EB89D"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"_ftnref190" \o "" </w:instrText>
      </w:r>
      <w:r>
        <w:fldChar w:fldCharType="separate"/>
      </w:r>
      <w:r>
        <w:rPr>
          <w:rStyle w:val="footnotes-number"/>
          <w:rFonts w:ascii="Poppins-Bold" w:hAnsi="Poppins-Bold" w:cs="Helvetica"/>
          <w:color w:val="005F92"/>
          <w:spacing w:val="2"/>
        </w:rPr>
        <w:t>[190]</w:t>
      </w:r>
      <w:r>
        <w:rPr>
          <w:rStyle w:val="Hyperlink"/>
          <w:rFonts w:ascii="Helvetica" w:hAnsi="Helvetica" w:cs="Helvetica"/>
          <w:color w:val="000000"/>
          <w:spacing w:val="2"/>
        </w:rPr>
        <w:t> </w:t>
      </w:r>
    </w:p>
    <w:p w14:paraId="184D3B93" w14:textId="77777777" w:rsidR="00F77FCE" w:rsidRDefault="00F77FCE" w:rsidP="00F77FCE">
      <w:r>
        <w:t>Gilbert and Tobin Centre of Public Law, </w:t>
      </w:r>
      <w:r>
        <w:rPr>
          <w:rStyle w:val="Emphasis"/>
          <w:rFonts w:ascii="Poppins-Italic" w:hAnsi="Poppins-Italic" w:cs="Helvetica"/>
          <w:i w:val="0"/>
          <w:iCs w:val="0"/>
          <w:color w:val="000000"/>
          <w:spacing w:val="2"/>
        </w:rPr>
        <w:t>Submission 22</w:t>
      </w:r>
      <w:r>
        <w:t>; Law Society of NSW Young Lawyers, </w:t>
      </w:r>
      <w:r>
        <w:rPr>
          <w:rStyle w:val="Emphasis"/>
          <w:rFonts w:ascii="Poppins-Italic" w:hAnsi="Poppins-Italic" w:cs="Helvetica"/>
          <w:i w:val="0"/>
          <w:iCs w:val="0"/>
          <w:color w:val="000000"/>
          <w:spacing w:val="2"/>
        </w:rPr>
        <w:t>Submission 69</w:t>
      </w:r>
      <w:r>
        <w:t>.</w:t>
      </w:r>
    </w:p>
    <w:p w14:paraId="65F33664" w14:textId="77777777" w:rsidR="00F77FCE" w:rsidRDefault="00F77FCE" w:rsidP="00F77FCE">
      <w:r>
        <w:lastRenderedPageBreak/>
        <w:fldChar w:fldCharType="end"/>
      </w:r>
      <w:bookmarkEnd w:id="176"/>
    </w:p>
    <w:bookmarkStart w:id="177" w:name="_ftn191"/>
    <w:p w14:paraId="3E7A78D0"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"_ftnref191" \o "" </w:instrText>
      </w:r>
      <w:r>
        <w:fldChar w:fldCharType="separate"/>
      </w:r>
      <w:r>
        <w:rPr>
          <w:rStyle w:val="footnotes-number"/>
          <w:rFonts w:ascii="Poppins-Bold" w:hAnsi="Poppins-Bold" w:cs="Helvetica"/>
          <w:color w:val="005F92"/>
          <w:spacing w:val="2"/>
        </w:rPr>
        <w:t>[191]</w:t>
      </w:r>
      <w:r>
        <w:rPr>
          <w:rStyle w:val="Hyperlink"/>
          <w:rFonts w:ascii="Helvetica" w:hAnsi="Helvetica" w:cs="Helvetica"/>
          <w:color w:val="000000"/>
          <w:spacing w:val="2"/>
        </w:rPr>
        <w:t> </w:t>
      </w:r>
    </w:p>
    <w:p w14:paraId="7B799F45" w14:textId="77777777" w:rsidR="00F77FCE" w:rsidRDefault="00F77FCE" w:rsidP="00F77FCE">
      <w:r>
        <w:t>Gilbert and Tobin Centre of Public Law, </w:t>
      </w:r>
      <w:r>
        <w:rPr>
          <w:rStyle w:val="Emphasis"/>
          <w:rFonts w:ascii="Poppins-Italic" w:hAnsi="Poppins-Italic" w:cs="Helvetica"/>
          <w:i w:val="0"/>
          <w:iCs w:val="0"/>
          <w:color w:val="000000"/>
          <w:spacing w:val="2"/>
        </w:rPr>
        <w:t>Submission 22</w:t>
      </w:r>
      <w:r>
        <w:t>.</w:t>
      </w:r>
    </w:p>
    <w:p w14:paraId="03E026DC" w14:textId="77777777" w:rsidR="00F77FCE" w:rsidRDefault="00F77FCE" w:rsidP="00F77FCE">
      <w:r>
        <w:fldChar w:fldCharType="end"/>
      </w:r>
      <w:bookmarkEnd w:id="177"/>
    </w:p>
    <w:bookmarkStart w:id="178" w:name="_ftn192"/>
    <w:p w14:paraId="493F8516"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"_ftnref192" \o "" </w:instrText>
      </w:r>
      <w:r>
        <w:fldChar w:fldCharType="separate"/>
      </w:r>
      <w:r>
        <w:rPr>
          <w:rStyle w:val="footnotes-number"/>
          <w:rFonts w:ascii="Poppins-Bold" w:hAnsi="Poppins-Bold" w:cs="Helvetica"/>
          <w:color w:val="005F92"/>
          <w:spacing w:val="2"/>
        </w:rPr>
        <w:t>[192]</w:t>
      </w:r>
      <w:r>
        <w:rPr>
          <w:rStyle w:val="Hyperlink"/>
          <w:rFonts w:ascii="Helvetica" w:hAnsi="Helvetica" w:cs="Helvetica"/>
          <w:color w:val="000000"/>
          <w:spacing w:val="2"/>
        </w:rPr>
        <w:t> </w:t>
      </w:r>
    </w:p>
    <w:p w14:paraId="24E17B8E" w14:textId="77777777" w:rsidR="00F77FCE" w:rsidRDefault="00F77FCE" w:rsidP="00F77FCE">
      <w:r>
        <w:rPr>
          <w:rStyle w:val="Emphasis"/>
          <w:rFonts w:ascii="Poppins-Italic" w:hAnsi="Poppins-Italic" w:cs="Helvetica"/>
          <w:i w:val="0"/>
          <w:iCs w:val="0"/>
          <w:color w:val="000000"/>
          <w:spacing w:val="2"/>
        </w:rPr>
        <w:t>Dietrich v The Queen</w:t>
      </w:r>
      <w:r>
        <w:t> (1992) 177 CLR 292.</w:t>
      </w:r>
    </w:p>
    <w:p w14:paraId="794DB2E6" w14:textId="77777777" w:rsidR="00F77FCE" w:rsidRDefault="00F77FCE" w:rsidP="00F77FCE">
      <w:r>
        <w:fldChar w:fldCharType="end"/>
      </w:r>
      <w:bookmarkEnd w:id="178"/>
    </w:p>
    <w:bookmarkStart w:id="179" w:name="_ftn193"/>
    <w:p w14:paraId="34D52A3A"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"_ftnref193" \o "" </w:instrText>
      </w:r>
      <w:r>
        <w:fldChar w:fldCharType="separate"/>
      </w:r>
      <w:r>
        <w:rPr>
          <w:rStyle w:val="footnotes-number"/>
          <w:rFonts w:ascii="Poppins-Bold" w:hAnsi="Poppins-Bold" w:cs="Helvetica"/>
          <w:color w:val="005F92"/>
          <w:spacing w:val="2"/>
        </w:rPr>
        <w:t>[193]</w:t>
      </w:r>
      <w:r>
        <w:rPr>
          <w:rStyle w:val="Hyperlink"/>
          <w:rFonts w:ascii="Helvetica" w:hAnsi="Helvetica" w:cs="Helvetica"/>
          <w:color w:val="000000"/>
          <w:spacing w:val="2"/>
        </w:rPr>
        <w:t> </w:t>
      </w:r>
    </w:p>
    <w:p w14:paraId="70C1B288" w14:textId="77777777" w:rsidR="00F77FCE" w:rsidRDefault="00F77FCE" w:rsidP="00F77FCE">
      <w:r>
        <w:t>Women’s Legal Services Australia, </w:t>
      </w:r>
      <w:r>
        <w:rPr>
          <w:rStyle w:val="Emphasis"/>
          <w:rFonts w:ascii="Poppins-Italic" w:hAnsi="Poppins-Italic" w:cs="Helvetica"/>
          <w:i w:val="0"/>
          <w:iCs w:val="0"/>
          <w:color w:val="000000"/>
          <w:spacing w:val="2"/>
        </w:rPr>
        <w:t>Submission 5</w:t>
      </w:r>
      <w:r>
        <w:t>.</w:t>
      </w:r>
    </w:p>
    <w:p w14:paraId="51EB05D7" w14:textId="77777777" w:rsidR="00F77FCE" w:rsidRDefault="00F77FCE" w:rsidP="00F77FCE">
      <w:r>
        <w:fldChar w:fldCharType="end"/>
      </w:r>
      <w:bookmarkEnd w:id="179"/>
    </w:p>
    <w:bookmarkStart w:id="180" w:name="_ftn194"/>
    <w:p w14:paraId="404BDB74"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"_ftnref194" \o "" </w:instrText>
      </w:r>
      <w:r>
        <w:fldChar w:fldCharType="separate"/>
      </w:r>
      <w:r>
        <w:rPr>
          <w:rStyle w:val="footnotes-number"/>
          <w:rFonts w:ascii="Poppins-Bold" w:hAnsi="Poppins-Bold" w:cs="Helvetica"/>
          <w:color w:val="005F92"/>
          <w:spacing w:val="2"/>
        </w:rPr>
        <w:t>[194]</w:t>
      </w:r>
      <w:r>
        <w:rPr>
          <w:rStyle w:val="Hyperlink"/>
          <w:rFonts w:ascii="Helvetica" w:hAnsi="Helvetica" w:cs="Helvetica"/>
          <w:color w:val="000000"/>
          <w:spacing w:val="2"/>
        </w:rPr>
        <w:t> </w:t>
      </w:r>
    </w:p>
    <w:p w14:paraId="392EBC85" w14:textId="77777777" w:rsidR="00F77FCE" w:rsidRDefault="00F77FCE" w:rsidP="00F77FCE">
      <w:r>
        <w:t>Law Council of Australia, </w:t>
      </w:r>
      <w:r>
        <w:rPr>
          <w:rStyle w:val="Emphasis"/>
          <w:rFonts w:ascii="Poppins-Italic" w:hAnsi="Poppins-Italic" w:cs="Helvetica"/>
          <w:i w:val="0"/>
          <w:iCs w:val="0"/>
          <w:color w:val="000000"/>
          <w:spacing w:val="2"/>
        </w:rPr>
        <w:t>Submission 75</w:t>
      </w:r>
      <w:r>
        <w:t>.</w:t>
      </w:r>
    </w:p>
    <w:p w14:paraId="510309D1" w14:textId="77777777" w:rsidR="00F77FCE" w:rsidRDefault="00F77FCE" w:rsidP="00F77FCE">
      <w:r>
        <w:fldChar w:fldCharType="end"/>
      </w:r>
      <w:bookmarkEnd w:id="180"/>
    </w:p>
    <w:bookmarkStart w:id="181" w:name="_ftn195"/>
    <w:p w14:paraId="7C9C660C"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"_ftnref195" \o "" </w:instrText>
      </w:r>
      <w:r>
        <w:fldChar w:fldCharType="separate"/>
      </w:r>
      <w:r>
        <w:rPr>
          <w:rStyle w:val="footnotes-number"/>
          <w:rFonts w:ascii="Poppins-Bold" w:hAnsi="Poppins-Bold" w:cs="Helvetica"/>
          <w:color w:val="005F92"/>
          <w:spacing w:val="2"/>
        </w:rPr>
        <w:t>[195]</w:t>
      </w:r>
      <w:r>
        <w:rPr>
          <w:rStyle w:val="Hyperlink"/>
          <w:rFonts w:ascii="Helvetica" w:hAnsi="Helvetica" w:cs="Helvetica"/>
          <w:color w:val="000000"/>
          <w:spacing w:val="2"/>
        </w:rPr>
        <w:t> </w:t>
      </w:r>
    </w:p>
    <w:p w14:paraId="1703D35F" w14:textId="77777777" w:rsidR="00F77FCE" w:rsidRDefault="00F77FCE" w:rsidP="00F77FCE">
      <w:r>
        <w:t>Law Council of Australia, </w:t>
      </w:r>
      <w:r>
        <w:rPr>
          <w:rStyle w:val="Emphasis"/>
          <w:rFonts w:ascii="Poppins-Italic" w:hAnsi="Poppins-Italic" w:cs="Helvetica"/>
          <w:i w:val="0"/>
          <w:iCs w:val="0"/>
          <w:color w:val="000000"/>
          <w:spacing w:val="2"/>
        </w:rPr>
        <w:t>Submission 140</w:t>
      </w:r>
      <w:r>
        <w:t>.</w:t>
      </w:r>
    </w:p>
    <w:p w14:paraId="08D0A47A" w14:textId="77777777" w:rsidR="00F77FCE" w:rsidRDefault="00F77FCE" w:rsidP="00F77FCE">
      <w:r>
        <w:fldChar w:fldCharType="end"/>
      </w:r>
      <w:bookmarkEnd w:id="181"/>
    </w:p>
    <w:bookmarkStart w:id="182" w:name="_ftn196"/>
    <w:p w14:paraId="4742A24E"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"_ftnref196" \o "" </w:instrText>
      </w:r>
      <w:r>
        <w:fldChar w:fldCharType="separate"/>
      </w:r>
      <w:r>
        <w:rPr>
          <w:rStyle w:val="footnotes-number"/>
          <w:rFonts w:ascii="Poppins-Bold" w:hAnsi="Poppins-Bold" w:cs="Helvetica"/>
          <w:color w:val="005F92"/>
          <w:spacing w:val="2"/>
        </w:rPr>
        <w:t>[196]</w:t>
      </w:r>
      <w:r>
        <w:rPr>
          <w:rStyle w:val="Hyperlink"/>
          <w:rFonts w:ascii="Helvetica" w:hAnsi="Helvetica" w:cs="Helvetica"/>
          <w:color w:val="000000"/>
          <w:spacing w:val="2"/>
        </w:rPr>
        <w:t> </w:t>
      </w:r>
    </w:p>
    <w:p w14:paraId="625956D6" w14:textId="77777777" w:rsidR="00F77FCE" w:rsidRDefault="00F77FCE" w:rsidP="00F77FCE">
      <w:r>
        <w:t>Attorney-General’s Department, ‘A Strategic Framework for Access to Justice in the Federal Civil Justice System’ (2009).</w:t>
      </w:r>
    </w:p>
    <w:p w14:paraId="18653B0B" w14:textId="77777777" w:rsidR="00F77FCE" w:rsidRDefault="00F77FCE" w:rsidP="00F77FCE">
      <w:r>
        <w:fldChar w:fldCharType="end"/>
      </w:r>
      <w:bookmarkEnd w:id="182"/>
    </w:p>
    <w:bookmarkStart w:id="183" w:name="_ftn197"/>
    <w:p w14:paraId="7E96CCAA"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"_ftnref197" \o "" </w:instrText>
      </w:r>
      <w:r>
        <w:fldChar w:fldCharType="separate"/>
      </w:r>
      <w:r>
        <w:rPr>
          <w:rStyle w:val="footnotes-number"/>
          <w:rFonts w:ascii="Poppins-Bold" w:hAnsi="Poppins-Bold" w:cs="Helvetica"/>
          <w:color w:val="005F92"/>
          <w:spacing w:val="2"/>
        </w:rPr>
        <w:t>[197]</w:t>
      </w:r>
      <w:r>
        <w:rPr>
          <w:rStyle w:val="Hyperlink"/>
          <w:rFonts w:ascii="Helvetica" w:hAnsi="Helvetica" w:cs="Helvetica"/>
          <w:color w:val="000000"/>
          <w:spacing w:val="2"/>
        </w:rPr>
        <w:t> </w:t>
      </w:r>
    </w:p>
    <w:p w14:paraId="7A369462" w14:textId="77777777" w:rsidR="00F77FCE" w:rsidRDefault="00F77FCE" w:rsidP="00F77FCE">
      <w:r>
        <w:t>Productivity Commission, above n 124.</w:t>
      </w:r>
    </w:p>
    <w:p w14:paraId="1AE772E8" w14:textId="77777777" w:rsidR="00F77FCE" w:rsidRDefault="00F77FCE" w:rsidP="00F77FCE">
      <w:r>
        <w:fldChar w:fldCharType="end"/>
      </w:r>
      <w:bookmarkEnd w:id="183"/>
    </w:p>
    <w:bookmarkStart w:id="184" w:name="_ftn198"/>
    <w:p w14:paraId="3C2FF923" w14:textId="77777777" w:rsidR="00F77FCE" w:rsidRDefault="00F77FCE" w:rsidP="00F77FCE">
      <w:pPr>
        <w:rPr>
          <w:rStyle w:val="Hyperlink"/>
          <w:color w:val="000000"/>
          <w:u w:val="none"/>
        </w:rPr>
      </w:pPr>
      <w:r>
        <w:fldChar w:fldCharType="begin"/>
      </w:r>
      <w:r>
        <w:instrText xml:space="preserve"> HYPERLINK "https://www.alrc.gov.au/publication/traditional-rights-and-freedoms-encroachments-by-commonwealth-laws-alrc-report-129/8-fair-trial-2/right-to-a-lawyer-2/" \l "_ftnref198" \o "" </w:instrText>
      </w:r>
      <w:r>
        <w:fldChar w:fldCharType="separate"/>
      </w:r>
      <w:r>
        <w:rPr>
          <w:rStyle w:val="footnotes-number"/>
          <w:rFonts w:ascii="Poppins-Bold" w:hAnsi="Poppins-Bold" w:cs="Helvetica"/>
          <w:color w:val="005F92"/>
          <w:spacing w:val="2"/>
        </w:rPr>
        <w:t>[198]</w:t>
      </w:r>
      <w:r>
        <w:rPr>
          <w:rStyle w:val="Hyperlink"/>
          <w:rFonts w:ascii="Helvetica" w:hAnsi="Helvetica" w:cs="Helvetica"/>
          <w:color w:val="000000"/>
          <w:spacing w:val="2"/>
        </w:rPr>
        <w:t> </w:t>
      </w:r>
    </w:p>
    <w:p w14:paraId="177578CD" w14:textId="77777777" w:rsidR="00F77FCE" w:rsidRDefault="00F77FCE" w:rsidP="00F77FCE">
      <w:r>
        <w:t>Law Council of Australia, </w:t>
      </w:r>
      <w:r>
        <w:rPr>
          <w:rStyle w:val="Emphasis"/>
          <w:rFonts w:ascii="Poppins-Italic" w:hAnsi="Poppins-Italic" w:cs="Helvetica"/>
          <w:i w:val="0"/>
          <w:iCs w:val="0"/>
          <w:color w:val="000000"/>
          <w:spacing w:val="2"/>
        </w:rPr>
        <w:t>Submission 140</w:t>
      </w:r>
      <w:r>
        <w:t>.</w:t>
      </w:r>
    </w:p>
    <w:p w14:paraId="10A81616" w14:textId="77777777" w:rsidR="00F77FCE" w:rsidRDefault="00F77FCE" w:rsidP="00F77FCE">
      <w:r>
        <w:fldChar w:fldCharType="end"/>
      </w:r>
      <w:bookmarkEnd w:id="184"/>
    </w:p>
    <w:p w14:paraId="1B63F3A8" w14:textId="77777777" w:rsidR="00F77FCE" w:rsidRDefault="00F77FCE" w:rsidP="00F77FCE">
      <w:pPr>
        <w:pStyle w:val="Heading2"/>
        <w:spacing w:before="0" w:beforeAutospacing="0" w:after="0" w:afterAutospacing="0" w:line="348" w:lineRule="atLeast"/>
        <w:rPr>
          <w:rFonts w:ascii="Lekton-Bold" w:hAnsi="Lekton-Bold"/>
          <w:b w:val="0"/>
          <w:bCs w:val="0"/>
          <w:caps/>
          <w:color w:val="auto"/>
          <w:sz w:val="30"/>
          <w:szCs w:val="30"/>
        </w:rPr>
      </w:pPr>
      <w:r>
        <w:rPr>
          <w:rFonts w:ascii="Lekton-Bold" w:hAnsi="Lekton-Bold"/>
          <w:b w:val="0"/>
          <w:bCs w:val="0"/>
          <w:caps/>
          <w:sz w:val="30"/>
          <w:szCs w:val="30"/>
        </w:rPr>
        <w:t>ENGAGE WITH US</w:t>
      </w:r>
    </w:p>
    <w:p w14:paraId="64872735" w14:textId="77777777" w:rsidR="00F77FCE" w:rsidRDefault="00F77FCE" w:rsidP="00F77FCE">
      <w:pPr>
        <w:pStyle w:val="Heading3"/>
        <w:spacing w:before="0" w:line="276" w:lineRule="atLeast"/>
        <w:rPr>
          <w:rFonts w:ascii="Times New Roman" w:hAnsi="Times New Roman"/>
          <w:b w:val="0"/>
          <w:bCs/>
          <w:sz w:val="30"/>
          <w:szCs w:val="30"/>
        </w:rPr>
      </w:pPr>
      <w:r>
        <w:rPr>
          <w:b w:val="0"/>
          <w:bCs/>
          <w:sz w:val="30"/>
          <w:szCs w:val="30"/>
        </w:rPr>
        <w:t>Get in contact</w:t>
      </w:r>
    </w:p>
    <w:p w14:paraId="2FF7F86B" w14:textId="77777777" w:rsidR="00F77FCE" w:rsidRDefault="00F77FCE" w:rsidP="00F77FCE">
      <w:pPr>
        <w:pStyle w:val="NormalWeb"/>
        <w:spacing w:before="0" w:beforeAutospacing="0" w:after="0" w:afterAutospacing="0" w:line="315" w:lineRule="atLeast"/>
      </w:pPr>
      <w:r>
        <w:t>8:30am – 5pm (AEST)</w:t>
      </w:r>
      <w:r>
        <w:br/>
        <w:t>Monday to Friday</w:t>
      </w:r>
    </w:p>
    <w:p w14:paraId="5701E461" w14:textId="77777777" w:rsidR="00F77FCE" w:rsidRDefault="00F77FCE" w:rsidP="00F77FCE">
      <w:pPr>
        <w:pStyle w:val="NormalWeb"/>
        <w:spacing w:before="0" w:beforeAutospacing="0" w:after="0" w:afterAutospacing="0" w:line="315" w:lineRule="atLeast"/>
      </w:pPr>
      <w:r>
        <w:lastRenderedPageBreak/>
        <w:t>Phone </w:t>
      </w:r>
      <w:hyperlink r:id="rId110" w:history="1">
        <w:r>
          <w:rPr>
            <w:rStyle w:val="Hyperlink"/>
            <w:rFonts w:eastAsiaTheme="majorEastAsia"/>
            <w:color w:val="000000"/>
          </w:rPr>
          <w:t>+61 7 3052 4224</w:t>
        </w:r>
      </w:hyperlink>
      <w:r>
        <w:br/>
        <w:t>Email </w:t>
      </w:r>
      <w:hyperlink r:id="rId111" w:history="1">
        <w:r>
          <w:rPr>
            <w:rStyle w:val="Hyperlink"/>
            <w:rFonts w:eastAsiaTheme="majorEastAsia"/>
            <w:color w:val="000000"/>
          </w:rPr>
          <w:t>info@alrc.gov.au</w:t>
        </w:r>
      </w:hyperlink>
    </w:p>
    <w:p w14:paraId="7EA35053" w14:textId="77777777" w:rsidR="00F77FCE" w:rsidRDefault="00F77FCE" w:rsidP="00F77FCE">
      <w:pPr>
        <w:pStyle w:val="NormalWeb"/>
        <w:spacing w:before="0" w:beforeAutospacing="0" w:after="0" w:afterAutospacing="0" w:line="315" w:lineRule="atLeast"/>
      </w:pPr>
      <w:r>
        <w:t>PO Box 12953</w:t>
      </w:r>
      <w:r>
        <w:br/>
        <w:t>George Street Post Shop</w:t>
      </w:r>
      <w:r>
        <w:br/>
        <w:t>Queensland 4003</w:t>
      </w:r>
    </w:p>
    <w:p w14:paraId="5A4D805A" w14:textId="77777777" w:rsidR="00F77FCE" w:rsidRDefault="00000000" w:rsidP="00F77FCE">
      <w:pPr>
        <w:numPr>
          <w:ilvl w:val="0"/>
          <w:numId w:val="62"/>
        </w:numPr>
        <w:spacing w:beforeAutospacing="1" w:after="0" w:afterAutospacing="1" w:line="315" w:lineRule="atLeast"/>
      </w:pPr>
      <w:hyperlink r:id="rId112" w:tooltip="Twitter" w:history="1">
        <w:r w:rsidR="00F77FCE">
          <w:rPr>
            <w:rStyle w:val="sr-only"/>
            <w:rFonts w:ascii="FontAwesome" w:hAnsi="FontAwesome"/>
            <w:color w:val="FFFFFF"/>
            <w:sz w:val="48"/>
            <w:szCs w:val="48"/>
            <w:highlight w:val="black"/>
            <w:bdr w:val="none" w:sz="0" w:space="0" w:color="auto" w:frame="1"/>
          </w:rPr>
          <w:t>Twitter</w:t>
        </w:r>
      </w:hyperlink>
    </w:p>
    <w:p w14:paraId="6A41F4CE" w14:textId="77777777" w:rsidR="00F77FCE" w:rsidRDefault="00000000" w:rsidP="00F77FCE">
      <w:pPr>
        <w:numPr>
          <w:ilvl w:val="0"/>
          <w:numId w:val="62"/>
        </w:numPr>
        <w:spacing w:beforeAutospacing="1" w:after="0" w:afterAutospacing="1" w:line="315" w:lineRule="atLeast"/>
      </w:pPr>
      <w:hyperlink r:id="rId113" w:tooltip="LinkedIn" w:history="1">
        <w:r w:rsidR="00F77FCE">
          <w:rPr>
            <w:rStyle w:val="sr-only"/>
            <w:rFonts w:ascii="FontAwesome" w:hAnsi="FontAwesome"/>
            <w:color w:val="FFFFFF"/>
            <w:sz w:val="48"/>
            <w:szCs w:val="48"/>
            <w:highlight w:val="black"/>
            <w:bdr w:val="none" w:sz="0" w:space="0" w:color="auto" w:frame="1"/>
          </w:rPr>
          <w:t>LinkedIn</w:t>
        </w:r>
      </w:hyperlink>
    </w:p>
    <w:p w14:paraId="7F596331" w14:textId="77777777" w:rsidR="00F77FCE" w:rsidRDefault="00000000" w:rsidP="00F77FCE">
      <w:pPr>
        <w:numPr>
          <w:ilvl w:val="0"/>
          <w:numId w:val="62"/>
        </w:numPr>
        <w:spacing w:beforeAutospacing="1" w:after="0" w:afterAutospacing="1" w:line="315" w:lineRule="atLeast"/>
      </w:pPr>
      <w:hyperlink r:id="rId114" w:tooltip="YouTube" w:history="1">
        <w:r w:rsidR="00F77FCE">
          <w:rPr>
            <w:rStyle w:val="sr-only"/>
            <w:rFonts w:ascii="FontAwesome" w:hAnsi="FontAwesome"/>
            <w:color w:val="FFFFFF"/>
            <w:sz w:val="48"/>
            <w:szCs w:val="48"/>
            <w:highlight w:val="black"/>
            <w:bdr w:val="none" w:sz="0" w:space="0" w:color="auto" w:frame="1"/>
          </w:rPr>
          <w:t>YouTube</w:t>
        </w:r>
      </w:hyperlink>
    </w:p>
    <w:p w14:paraId="233F3F45" w14:textId="77777777" w:rsidR="00F77FCE" w:rsidRDefault="00F77FCE" w:rsidP="00F77FCE">
      <w:pPr>
        <w:pStyle w:val="NormalWeb"/>
        <w:spacing w:before="0" w:beforeAutospacing="0" w:after="0" w:afterAutospacing="0" w:line="315" w:lineRule="atLeast"/>
        <w:rPr>
          <w:sz w:val="19"/>
          <w:szCs w:val="19"/>
        </w:rPr>
      </w:pPr>
      <w:r>
        <w:rPr>
          <w:sz w:val="19"/>
          <w:szCs w:val="19"/>
        </w:rPr>
        <w:t>The Australian Law Reform Commission acknowledges the traditional owners and custodians of country throughout Australia and acknowledges their continuing connection to land, sea and community. We pay our respects to the people, the cultures and the elders past, present and emerging.</w:t>
      </w:r>
    </w:p>
    <w:p w14:paraId="48A0DB2F" w14:textId="77777777" w:rsidR="00F77FCE" w:rsidRPr="00F55B8A" w:rsidRDefault="00F77FCE" w:rsidP="00F77FCE">
      <w:pPr>
        <w:shd w:val="clear" w:color="auto" w:fill="FFFFFF"/>
        <w:spacing w:beforeAutospacing="1" w:after="0" w:afterAutospacing="1" w:line="240" w:lineRule="auto"/>
        <w:rPr>
          <w:rFonts w:ascii="Source Sans Pro" w:hAnsi="Source Sans Pro"/>
          <w:color w:val="474747"/>
        </w:rPr>
      </w:pPr>
    </w:p>
    <w:p w14:paraId="170D3B7F" w14:textId="77777777" w:rsidR="009D0B41" w:rsidRDefault="009D0B41" w:rsidP="009D0B41">
      <w:pPr>
        <w:pStyle w:val="Heading1"/>
        <w:shd w:val="clear" w:color="auto" w:fill="FFFFFF"/>
        <w:spacing w:before="285" w:after="161"/>
        <w:rPr>
          <w:rFonts w:ascii="Source Sans Pro" w:hAnsi="Source Sans Pro"/>
          <w:color w:val="474747"/>
          <w:sz w:val="48"/>
        </w:rPr>
      </w:pPr>
      <w:bookmarkStart w:id="185" w:name="_Toc131144709"/>
      <w:r>
        <w:rPr>
          <w:rFonts w:ascii="Source Sans Pro" w:hAnsi="Source Sans Pro"/>
          <w:color w:val="474747"/>
        </w:rPr>
        <w:t>Human Rights Act 2019</w:t>
      </w:r>
      <w:bookmarkEnd w:id="185"/>
    </w:p>
    <w:p w14:paraId="71B026DD"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r>
        <w:rPr>
          <w:rFonts w:ascii="Open Sans" w:hAnsi="Open Sans" w:cs="Open Sans"/>
        </w:rPr>
        <w:t>From Legal Aid Qld</w:t>
      </w:r>
      <w:r>
        <w:rPr>
          <w:rFonts w:ascii="Source Sans Pro" w:hAnsi="Source Sans Pro"/>
          <w:color w:val="474747"/>
        </w:rPr>
        <w:t xml:space="preserve"> </w:t>
      </w:r>
    </w:p>
    <w:p w14:paraId="0DCFE12D"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p>
    <w:p w14:paraId="7AFE3C9B"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r>
        <w:rPr>
          <w:rFonts w:ascii="Source Sans Pro" w:hAnsi="Source Sans Pro"/>
          <w:color w:val="474747"/>
        </w:rPr>
        <w:t>Queensland's </w:t>
      </w:r>
      <w:hyperlink r:id="rId115" w:history="1">
        <w:r>
          <w:rPr>
            <w:rStyle w:val="Hyperlink"/>
            <w:rFonts w:ascii="Source Sans Pro" w:eastAsiaTheme="majorEastAsia" w:hAnsi="Source Sans Pro"/>
            <w:color w:val="005288"/>
          </w:rPr>
          <w:t>Human Rights Act 2019</w:t>
        </w:r>
      </w:hyperlink>
      <w:r>
        <w:rPr>
          <w:rFonts w:ascii="Source Sans Pro" w:hAnsi="Source Sans Pro"/>
          <w:color w:val="474747"/>
        </w:rPr>
        <w:t> started from 1 January 2020, and aims to:</w:t>
      </w:r>
    </w:p>
    <w:p w14:paraId="06680E88" w14:textId="77777777" w:rsidR="009D0B41" w:rsidRDefault="009D0B41">
      <w:pPr>
        <w:numPr>
          <w:ilvl w:val="0"/>
          <w:numId w:val="44"/>
        </w:numPr>
        <w:shd w:val="clear" w:color="auto" w:fill="D8EEF1"/>
        <w:spacing w:before="100" w:beforeAutospacing="1" w:after="100" w:afterAutospacing="1" w:line="240" w:lineRule="auto"/>
        <w:rPr>
          <w:rFonts w:ascii="Source Sans Pro" w:hAnsi="Source Sans Pro"/>
          <w:color w:val="474747"/>
        </w:rPr>
      </w:pPr>
      <w:r>
        <w:rPr>
          <w:rFonts w:ascii="Source Sans Pro" w:hAnsi="Source Sans Pro"/>
          <w:color w:val="474747"/>
        </w:rPr>
        <w:t>protect and promote human rights</w:t>
      </w:r>
    </w:p>
    <w:p w14:paraId="61023392" w14:textId="77777777" w:rsidR="009D0B41" w:rsidRDefault="009D0B41">
      <w:pPr>
        <w:numPr>
          <w:ilvl w:val="0"/>
          <w:numId w:val="44"/>
        </w:numPr>
        <w:shd w:val="clear" w:color="auto" w:fill="D8EEF1"/>
        <w:spacing w:before="100" w:beforeAutospacing="1" w:after="100" w:afterAutospacing="1" w:line="240" w:lineRule="auto"/>
        <w:rPr>
          <w:rFonts w:ascii="Source Sans Pro" w:hAnsi="Source Sans Pro"/>
          <w:color w:val="474747"/>
        </w:rPr>
      </w:pPr>
      <w:r>
        <w:rPr>
          <w:rFonts w:ascii="Source Sans Pro" w:hAnsi="Source Sans Pro"/>
          <w:color w:val="474747"/>
        </w:rPr>
        <w:t>help build a culture in the Queensland public sector that respects and promotes human rights and</w:t>
      </w:r>
    </w:p>
    <w:p w14:paraId="2C8162C6" w14:textId="77777777" w:rsidR="009D0B41" w:rsidRDefault="009D0B41">
      <w:pPr>
        <w:numPr>
          <w:ilvl w:val="0"/>
          <w:numId w:val="44"/>
        </w:numPr>
        <w:shd w:val="clear" w:color="auto" w:fill="D8EEF1"/>
        <w:spacing w:before="100" w:beforeAutospacing="1" w:after="100" w:afterAutospacing="1" w:line="240" w:lineRule="auto"/>
        <w:rPr>
          <w:rFonts w:ascii="Source Sans Pro" w:hAnsi="Source Sans Pro"/>
          <w:color w:val="474747"/>
        </w:rPr>
      </w:pPr>
      <w:r>
        <w:rPr>
          <w:rFonts w:ascii="Source Sans Pro" w:hAnsi="Source Sans Pro"/>
          <w:color w:val="474747"/>
        </w:rPr>
        <w:t>help promote a dialogue about the nature, meaning and scope of human rights.</w:t>
      </w:r>
    </w:p>
    <w:p w14:paraId="7AB70DA2" w14:textId="77777777" w:rsidR="009D0B41" w:rsidRDefault="009D0B41" w:rsidP="009D0B41">
      <w:pPr>
        <w:pStyle w:val="NormalWeb"/>
        <w:shd w:val="clear" w:color="auto" w:fill="D8EEF1"/>
        <w:spacing w:before="0" w:beforeAutospacing="0" w:after="0" w:afterAutospacing="0" w:line="390" w:lineRule="atLeast"/>
        <w:rPr>
          <w:rFonts w:ascii="Source Sans Pro" w:hAnsi="Source Sans Pro"/>
          <w:color w:val="474747"/>
        </w:rPr>
      </w:pPr>
      <w:r>
        <w:rPr>
          <w:rFonts w:ascii="Source Sans Pro" w:hAnsi="Source Sans Pro"/>
          <w:color w:val="474747"/>
        </w:rPr>
        <w:t>For more information about the Human Rights Act visit the </w:t>
      </w:r>
      <w:hyperlink r:id="rId116" w:history="1">
        <w:r>
          <w:rPr>
            <w:rStyle w:val="Hyperlink"/>
            <w:rFonts w:ascii="Source Sans Pro" w:eastAsiaTheme="majorEastAsia" w:hAnsi="Source Sans Pro"/>
            <w:color w:val="005288"/>
          </w:rPr>
          <w:t>Queensland Human Rights Commission's website</w:t>
        </w:r>
      </w:hyperlink>
      <w:r>
        <w:rPr>
          <w:rFonts w:ascii="Source Sans Pro" w:hAnsi="Source Sans Pro"/>
          <w:color w:val="474747"/>
        </w:rPr>
        <w:t>.</w:t>
      </w:r>
    </w:p>
    <w:p w14:paraId="5B92F989"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186" w:name="_Toc131144710"/>
      <w:r>
        <w:rPr>
          <w:rFonts w:ascii="Source Sans Pro" w:hAnsi="Source Sans Pro"/>
          <w:color w:val="00426E"/>
        </w:rPr>
        <w:t>COVID-19</w:t>
      </w:r>
      <w:bookmarkEnd w:id="186"/>
    </w:p>
    <w:p w14:paraId="307BD603"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Public entities (such as government bodies) in Queensland are required to consider and act in accordance with your human rights.  Certain human rights may be affected by decisions concerning COVID-19, including:</w:t>
      </w:r>
    </w:p>
    <w:p w14:paraId="19CDF162"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right to association;</w:t>
      </w:r>
    </w:p>
    <w:p w14:paraId="0CB1EA3D"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right to take part in public life;</w:t>
      </w:r>
    </w:p>
    <w:p w14:paraId="2073CB07"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right to privacy, family or home; and</w:t>
      </w:r>
    </w:p>
    <w:p w14:paraId="15408D1C" w14:textId="77777777" w:rsidR="009D0B41" w:rsidRDefault="009D0B41">
      <w:pPr>
        <w:numPr>
          <w:ilvl w:val="0"/>
          <w:numId w:val="45"/>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The protection of families and children.</w:t>
      </w:r>
    </w:p>
    <w:p w14:paraId="68721C2C"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lastRenderedPageBreak/>
        <w:t>Human rights can be subjected to reasonable limits that can be justified in a free and democratic society based on human dignity, equality and freedom. Human rights are in addition to other rights.</w:t>
      </w:r>
    </w:p>
    <w:p w14:paraId="7CAFBC3E"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187" w:name="_Toc131144711"/>
      <w:r>
        <w:rPr>
          <w:rFonts w:ascii="Source Sans Pro" w:hAnsi="Source Sans Pro"/>
          <w:color w:val="00426E"/>
        </w:rPr>
        <w:t>Human Rights Act overview</w:t>
      </w:r>
      <w:bookmarkEnd w:id="187"/>
    </w:p>
    <w:p w14:paraId="7CD584D1"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Queensland’s </w:t>
      </w:r>
      <w:r>
        <w:rPr>
          <w:rStyle w:val="Emphasis"/>
          <w:rFonts w:ascii="Source Sans Pro" w:hAnsi="Source Sans Pro"/>
          <w:color w:val="474747"/>
        </w:rPr>
        <w:t>Human Rights Act 2019</w:t>
      </w:r>
      <w:r>
        <w:rPr>
          <w:rFonts w:ascii="Source Sans Pro" w:hAnsi="Source Sans Pro"/>
          <w:color w:val="474747"/>
        </w:rPr>
        <w:t> protects </w:t>
      </w:r>
      <w:hyperlink r:id="rId117" w:anchor="23Humanrights" w:tgtFrame="_self" w:history="1">
        <w:r>
          <w:rPr>
            <w:rStyle w:val="Hyperlink"/>
            <w:rFonts w:ascii="Source Sans Pro" w:eastAsiaTheme="majorEastAsia" w:hAnsi="Source Sans Pro"/>
            <w:color w:val="005288"/>
          </w:rPr>
          <w:t>23 fundamental human rights</w:t>
        </w:r>
      </w:hyperlink>
      <w:r>
        <w:rPr>
          <w:rFonts w:ascii="Source Sans Pro" w:hAnsi="Source Sans Pro"/>
          <w:color w:val="474747"/>
        </w:rPr>
        <w:t> in law.</w:t>
      </w:r>
    </w:p>
    <w:p w14:paraId="26552E27"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The Act requires each arm of government to act compatibly with these human rights. This means that:</w:t>
      </w:r>
    </w:p>
    <w:p w14:paraId="2CD85B1F" w14:textId="77777777" w:rsidR="009D0B41" w:rsidRDefault="009D0B41">
      <w:pPr>
        <w:numPr>
          <w:ilvl w:val="0"/>
          <w:numId w:val="46"/>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parliament must consider human rights when proposing and scrutinising new laws</w:t>
      </w:r>
    </w:p>
    <w:p w14:paraId="032C7CA6" w14:textId="77777777" w:rsidR="009D0B41" w:rsidRDefault="009D0B41">
      <w:pPr>
        <w:numPr>
          <w:ilvl w:val="0"/>
          <w:numId w:val="46"/>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courts and tribunals, so far as is possible to do so, must interpret legislation in a way that is compatible with human rights</w:t>
      </w:r>
    </w:p>
    <w:p w14:paraId="5CB68B40" w14:textId="77777777" w:rsidR="009D0B41" w:rsidRDefault="009D0B41">
      <w:pPr>
        <w:numPr>
          <w:ilvl w:val="0"/>
          <w:numId w:val="46"/>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public entities – such as state government departments (for example Queensland Corrective Services, Queensland Health, Child Safety, Youth Justice), local councils, state schools, the police and non-government organisations and businesses performing a public function must act and make decisions compatible with human rights.</w:t>
      </w:r>
    </w:p>
    <w:p w14:paraId="6208F0C4"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The Act clearly states that rights can be limited, but only where it is reasonable and justifiable.</w:t>
      </w:r>
    </w:p>
    <w:p w14:paraId="0C0969DF" w14:textId="77777777" w:rsidR="009D0B41" w:rsidRDefault="009D0B41" w:rsidP="009D0B41">
      <w:pPr>
        <w:pStyle w:val="Heading2"/>
        <w:shd w:val="clear" w:color="auto" w:fill="FFFFFF"/>
        <w:spacing w:before="0" w:beforeAutospacing="0" w:after="0" w:afterAutospacing="0"/>
        <w:rPr>
          <w:rFonts w:ascii="Source Sans Pro" w:hAnsi="Source Sans Pro"/>
          <w:color w:val="00426E"/>
        </w:rPr>
      </w:pPr>
      <w:bookmarkStart w:id="188" w:name="23Humanrights"/>
      <w:bookmarkStart w:id="189" w:name="_Toc131144712"/>
      <w:bookmarkEnd w:id="188"/>
      <w:r>
        <w:rPr>
          <w:rFonts w:ascii="Source Sans Pro" w:hAnsi="Source Sans Pro"/>
          <w:color w:val="00426E"/>
        </w:rPr>
        <w:t>Which human rights does </w:t>
      </w:r>
      <w:r>
        <w:rPr>
          <w:rStyle w:val="Emphasis"/>
          <w:rFonts w:ascii="Source Sans Pro" w:hAnsi="Source Sans Pro"/>
          <w:color w:val="00426E"/>
        </w:rPr>
        <w:t>The Human Rights Act</w:t>
      </w:r>
      <w:r>
        <w:rPr>
          <w:rFonts w:ascii="Source Sans Pro" w:hAnsi="Source Sans Pro"/>
          <w:color w:val="00426E"/>
        </w:rPr>
        <w:t> protect</w:t>
      </w:r>
      <w:bookmarkEnd w:id="189"/>
    </w:p>
    <w:p w14:paraId="602F3B3E"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Queensland’s </w:t>
      </w:r>
      <w:r>
        <w:rPr>
          <w:rStyle w:val="Emphasis"/>
          <w:rFonts w:ascii="Source Sans Pro" w:hAnsi="Source Sans Pro"/>
          <w:color w:val="474747"/>
        </w:rPr>
        <w:t>Human Rights Act 2019</w:t>
      </w:r>
      <w:r>
        <w:rPr>
          <w:rFonts w:ascii="Source Sans Pro" w:hAnsi="Source Sans Pro"/>
          <w:color w:val="474747"/>
        </w:rPr>
        <w:t> protects 23 fundamental human rights:</w:t>
      </w:r>
    </w:p>
    <w:p w14:paraId="0F00B250"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recognition and equality before the law</w:t>
      </w:r>
    </w:p>
    <w:p w14:paraId="28C5530C"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life</w:t>
      </w:r>
    </w:p>
    <w:p w14:paraId="350FBEBD"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protection from torture and cruel, inhuman or degrading treatment</w:t>
      </w:r>
    </w:p>
    <w:p w14:paraId="38152829"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from forced work</w:t>
      </w:r>
    </w:p>
    <w:p w14:paraId="1EB27C05"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of movement</w:t>
      </w:r>
    </w:p>
    <w:p w14:paraId="404C9E76"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of thought, conscience, religion and belief</w:t>
      </w:r>
    </w:p>
    <w:p w14:paraId="5667FC1E"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freedom of expression</w:t>
      </w:r>
    </w:p>
    <w:p w14:paraId="6E3FF046"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peaceful assembly and freedom of association</w:t>
      </w:r>
    </w:p>
    <w:p w14:paraId="25F1A46B"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taking part in public life</w:t>
      </w:r>
    </w:p>
    <w:p w14:paraId="423D616E"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property rights</w:t>
      </w:r>
    </w:p>
    <w:p w14:paraId="47CF9A84"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privacy and reputation</w:t>
      </w:r>
    </w:p>
    <w:p w14:paraId="0267A6D4"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protection of families and children</w:t>
      </w:r>
    </w:p>
    <w:p w14:paraId="5D77C391"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cultural rights—generally</w:t>
      </w:r>
    </w:p>
    <w:p w14:paraId="5696867E"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cultural rights—Aboriginal peoples and Torres Strait Islander peoples</w:t>
      </w:r>
    </w:p>
    <w:p w14:paraId="67B26112"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liberty and security of person</w:t>
      </w:r>
    </w:p>
    <w:p w14:paraId="4142CC73"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humane treatment when deprived of liberty</w:t>
      </w:r>
    </w:p>
    <w:p w14:paraId="3AAA3A9C"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fair hearing</w:t>
      </w:r>
    </w:p>
    <w:p w14:paraId="2F973C8D"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rights in criminal proceedings</w:t>
      </w:r>
    </w:p>
    <w:p w14:paraId="57FACACF"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children in the criminal process</w:t>
      </w:r>
    </w:p>
    <w:p w14:paraId="4B433C05"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not to be tried or punished more than once</w:t>
      </w:r>
    </w:p>
    <w:p w14:paraId="6D6256F8"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lastRenderedPageBreak/>
        <w:t>retrospective criminal laws</w:t>
      </w:r>
    </w:p>
    <w:p w14:paraId="70AF490C"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education</w:t>
      </w:r>
    </w:p>
    <w:p w14:paraId="0F92535D" w14:textId="77777777" w:rsidR="009D0B41" w:rsidRDefault="009D0B41">
      <w:pPr>
        <w:numPr>
          <w:ilvl w:val="0"/>
          <w:numId w:val="47"/>
        </w:numPr>
        <w:shd w:val="clear" w:color="auto" w:fill="FFFFFF"/>
        <w:spacing w:before="100" w:beforeAutospacing="1" w:after="100" w:afterAutospacing="1" w:line="240" w:lineRule="auto"/>
        <w:rPr>
          <w:rFonts w:ascii="Source Sans Pro" w:hAnsi="Source Sans Pro"/>
          <w:color w:val="474747"/>
        </w:rPr>
      </w:pPr>
      <w:r>
        <w:rPr>
          <w:rFonts w:ascii="Source Sans Pro" w:hAnsi="Source Sans Pro"/>
          <w:color w:val="474747"/>
        </w:rPr>
        <w:t>right to health services</w:t>
      </w:r>
    </w:p>
    <w:p w14:paraId="7B94CFF4"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190" w:name="_Toc131144713"/>
      <w:r>
        <w:rPr>
          <w:rFonts w:ascii="Source Sans Pro" w:hAnsi="Source Sans Pro"/>
          <w:color w:val="00426E"/>
        </w:rPr>
        <w:t>Making a complaint</w:t>
      </w:r>
      <w:bookmarkEnd w:id="190"/>
    </w:p>
    <w:p w14:paraId="16FAB430"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A human rights complaint must first be made to the relevant public entity, which has 45 days to respond.</w:t>
      </w:r>
    </w:p>
    <w:p w14:paraId="2ADF4252"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If you're unhappy with the response provided by the public entity, or if they don't respond, you can lodge a complaint with the </w:t>
      </w:r>
      <w:hyperlink r:id="rId118" w:history="1">
        <w:r>
          <w:rPr>
            <w:rStyle w:val="Hyperlink"/>
            <w:rFonts w:ascii="Source Sans Pro" w:eastAsiaTheme="majorEastAsia" w:hAnsi="Source Sans Pro"/>
            <w:color w:val="005288"/>
          </w:rPr>
          <w:t>Queensland Human Rights Commission (QHRC)</w:t>
        </w:r>
      </w:hyperlink>
      <w:r>
        <w:rPr>
          <w:rFonts w:ascii="Source Sans Pro" w:hAnsi="Source Sans Pro"/>
          <w:color w:val="474747"/>
        </w:rPr>
        <w:t>.</w:t>
      </w:r>
    </w:p>
    <w:p w14:paraId="5200160F"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Style w:val="Strong"/>
          <w:rFonts w:ascii="Source Sans Pro" w:hAnsi="Source Sans Pro"/>
          <w:color w:val="474747"/>
        </w:rPr>
        <w:t>Please note:</w:t>
      </w:r>
      <w:r>
        <w:rPr>
          <w:rFonts w:ascii="Source Sans Pro" w:hAnsi="Source Sans Pro"/>
          <w:color w:val="474747"/>
        </w:rPr>
        <w:t> Complaints under the Human Rights Act can only be lodged to the QHRC after 1 January 2020. Complaints under the Human Rights Act can only be made about alleged breaches occurring after 1 January 2020. </w:t>
      </w:r>
      <w:hyperlink r:id="rId119" w:history="1">
        <w:r>
          <w:rPr>
            <w:rStyle w:val="Hyperlink"/>
            <w:rFonts w:ascii="Source Sans Pro" w:eastAsiaTheme="majorEastAsia" w:hAnsi="Source Sans Pro"/>
            <w:color w:val="005288"/>
          </w:rPr>
          <w:t>Find out more</w:t>
        </w:r>
      </w:hyperlink>
      <w:r>
        <w:rPr>
          <w:rFonts w:ascii="Source Sans Pro" w:hAnsi="Source Sans Pro"/>
          <w:color w:val="474747"/>
        </w:rPr>
        <w:t>.</w:t>
      </w:r>
    </w:p>
    <w:p w14:paraId="685B2838"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If your human rights have been breached or limited in the course of another proceeding—for example a criminal proceeding—or may be a live issue within the proceedings get legal advice.</w:t>
      </w:r>
    </w:p>
    <w:p w14:paraId="0C22E655" w14:textId="77777777" w:rsidR="009D0B41" w:rsidRDefault="009D0B41" w:rsidP="009D0B41">
      <w:pPr>
        <w:pStyle w:val="Heading2"/>
        <w:shd w:val="clear" w:color="auto" w:fill="FFFFFF"/>
        <w:spacing w:before="161" w:beforeAutospacing="0" w:after="161" w:afterAutospacing="0"/>
        <w:rPr>
          <w:rFonts w:ascii="Source Sans Pro" w:hAnsi="Source Sans Pro"/>
          <w:color w:val="00426E"/>
        </w:rPr>
      </w:pPr>
      <w:bookmarkStart w:id="191" w:name="_Toc131144714"/>
      <w:r>
        <w:rPr>
          <w:rFonts w:ascii="Source Sans Pro" w:hAnsi="Source Sans Pro"/>
          <w:color w:val="00426E"/>
        </w:rPr>
        <w:t>Get legal help</w:t>
      </w:r>
      <w:bookmarkEnd w:id="191"/>
    </w:p>
    <w:p w14:paraId="31EAF344"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Fonts w:ascii="Source Sans Pro" w:hAnsi="Source Sans Pro"/>
          <w:color w:val="474747"/>
        </w:rPr>
        <w:t>For legal advice about a human rights issue, </w:t>
      </w:r>
      <w:hyperlink r:id="rId120" w:tgtFrame="_self" w:history="1">
        <w:r>
          <w:rPr>
            <w:rStyle w:val="Hyperlink"/>
            <w:rFonts w:ascii="Source Sans Pro" w:eastAsiaTheme="majorEastAsia" w:hAnsi="Source Sans Pro"/>
            <w:color w:val="005288"/>
          </w:rPr>
          <w:t>contact us</w:t>
        </w:r>
      </w:hyperlink>
      <w:r>
        <w:rPr>
          <w:rFonts w:ascii="Source Sans Pro" w:hAnsi="Source Sans Pro"/>
          <w:color w:val="474747"/>
        </w:rPr>
        <w:t> as soon as possible for more information.</w:t>
      </w:r>
    </w:p>
    <w:p w14:paraId="1D834DE0" w14:textId="77777777" w:rsidR="009D0B41" w:rsidRDefault="009D0B41" w:rsidP="009D0B41">
      <w:pPr>
        <w:pStyle w:val="NormalWeb"/>
        <w:shd w:val="clear" w:color="auto" w:fill="FFFFFF"/>
        <w:spacing w:before="0" w:beforeAutospacing="0" w:after="300" w:afterAutospacing="0" w:line="390" w:lineRule="atLeast"/>
        <w:rPr>
          <w:rFonts w:ascii="Source Sans Pro" w:hAnsi="Source Sans Pro"/>
          <w:color w:val="474747"/>
        </w:rPr>
      </w:pPr>
      <w:r>
        <w:rPr>
          <w:rFonts w:ascii="Source Sans Pro" w:hAnsi="Source Sans Pro"/>
          <w:color w:val="474747"/>
        </w:rPr>
        <w:t>You can also visit:</w:t>
      </w:r>
    </w:p>
    <w:p w14:paraId="514F3981" w14:textId="77777777" w:rsidR="009D0B41" w:rsidRDefault="00000000">
      <w:pPr>
        <w:numPr>
          <w:ilvl w:val="0"/>
          <w:numId w:val="48"/>
        </w:numPr>
        <w:shd w:val="clear" w:color="auto" w:fill="FFFFFF"/>
        <w:spacing w:beforeAutospacing="1" w:after="0" w:afterAutospacing="1" w:line="240" w:lineRule="auto"/>
        <w:rPr>
          <w:rFonts w:ascii="Source Sans Pro" w:hAnsi="Source Sans Pro"/>
          <w:color w:val="474747"/>
        </w:rPr>
      </w:pPr>
      <w:hyperlink r:id="rId121" w:history="1">
        <w:r w:rsidR="009D0B41">
          <w:rPr>
            <w:rStyle w:val="Hyperlink"/>
            <w:rFonts w:ascii="Source Sans Pro" w:hAnsi="Source Sans Pro"/>
            <w:color w:val="005288"/>
          </w:rPr>
          <w:t>qhrc.qld.gov.au</w:t>
        </w:r>
      </w:hyperlink>
    </w:p>
    <w:p w14:paraId="675DED5E" w14:textId="77777777" w:rsidR="009D0B41" w:rsidRDefault="00000000">
      <w:pPr>
        <w:numPr>
          <w:ilvl w:val="0"/>
          <w:numId w:val="48"/>
        </w:numPr>
        <w:shd w:val="clear" w:color="auto" w:fill="FFFFFF"/>
        <w:spacing w:beforeAutospacing="1" w:after="0" w:afterAutospacing="1" w:line="240" w:lineRule="auto"/>
        <w:rPr>
          <w:rFonts w:ascii="Source Sans Pro" w:hAnsi="Source Sans Pro"/>
          <w:color w:val="474747"/>
        </w:rPr>
      </w:pPr>
      <w:hyperlink r:id="rId122" w:history="1">
        <w:r w:rsidR="009D0B41">
          <w:rPr>
            <w:rStyle w:val="Hyperlink"/>
            <w:rFonts w:ascii="Source Sans Pro" w:hAnsi="Source Sans Pro"/>
            <w:color w:val="005288"/>
          </w:rPr>
          <w:t>qld.gov.au/law/your-rights/human-rights</w:t>
        </w:r>
      </w:hyperlink>
    </w:p>
    <w:p w14:paraId="19681162" w14:textId="77777777" w:rsidR="009D0B41" w:rsidRDefault="00000000" w:rsidP="009D0B41">
      <w:pPr>
        <w:rPr>
          <w:rFonts w:ascii="Times New Roman" w:hAnsi="Times New Roman"/>
        </w:rPr>
      </w:pPr>
      <w:r>
        <w:pict w14:anchorId="70F235F7">
          <v:rect id="_x0000_i1025" style="width:0;height:0" o:hralign="center" o:hrstd="t" o:hrnoshade="t" o:hr="t" fillcolor="#333" stroked="f"/>
        </w:pict>
      </w:r>
    </w:p>
    <w:p w14:paraId="486F9519" w14:textId="77777777" w:rsidR="009D0B41" w:rsidRDefault="009D0B41" w:rsidP="009D0B41">
      <w:pPr>
        <w:pStyle w:val="NormalWeb"/>
        <w:shd w:val="clear" w:color="auto" w:fill="FFFFFF"/>
        <w:spacing w:before="0" w:beforeAutospacing="0" w:after="0" w:afterAutospacing="0" w:line="390" w:lineRule="atLeast"/>
        <w:rPr>
          <w:rFonts w:ascii="Source Sans Pro" w:hAnsi="Source Sans Pro"/>
          <w:color w:val="474747"/>
        </w:rPr>
      </w:pPr>
      <w:r>
        <w:rPr>
          <w:rStyle w:val="Strong"/>
          <w:rFonts w:ascii="Source Sans Pro" w:hAnsi="Source Sans Pro"/>
          <w:color w:val="474747"/>
          <w:sz w:val="22"/>
          <w:szCs w:val="22"/>
        </w:rPr>
        <w:t>Disclaimer: This page is provided as information only, and is not legal advice. If you have a legal problem, you should </w:t>
      </w:r>
      <w:hyperlink r:id="rId123" w:history="1">
        <w:r>
          <w:rPr>
            <w:rStyle w:val="Hyperlink"/>
            <w:rFonts w:ascii="Source Sans Pro" w:eastAsiaTheme="majorEastAsia" w:hAnsi="Source Sans Pro"/>
            <w:color w:val="005288"/>
          </w:rPr>
          <w:t>contact us</w:t>
        </w:r>
      </w:hyperlink>
      <w:r>
        <w:rPr>
          <w:rStyle w:val="Strong"/>
          <w:rFonts w:ascii="Source Sans Pro" w:hAnsi="Source Sans Pro"/>
          <w:color w:val="474747"/>
          <w:sz w:val="22"/>
          <w:szCs w:val="22"/>
        </w:rPr>
        <w:t> or speak to a lawyer. View our </w:t>
      </w:r>
      <w:hyperlink r:id="rId124" w:history="1">
        <w:r>
          <w:rPr>
            <w:rStyle w:val="Hyperlink"/>
            <w:rFonts w:ascii="Source Sans Pro" w:eastAsiaTheme="majorEastAsia" w:hAnsi="Source Sans Pro"/>
            <w:color w:val="005288"/>
          </w:rPr>
          <w:t>full disclaimer</w:t>
        </w:r>
      </w:hyperlink>
      <w:r>
        <w:rPr>
          <w:rStyle w:val="Strong"/>
          <w:rFonts w:ascii="Source Sans Pro" w:hAnsi="Source Sans Pro"/>
          <w:color w:val="474747"/>
          <w:sz w:val="22"/>
          <w:szCs w:val="22"/>
        </w:rPr>
        <w:t>.</w:t>
      </w:r>
    </w:p>
    <w:p w14:paraId="7BB7B845" w14:textId="77777777" w:rsidR="009D0B41" w:rsidRDefault="009D0B41" w:rsidP="009D0B41">
      <w:pPr>
        <w:pStyle w:val="Heading2"/>
        <w:pBdr>
          <w:top w:val="single" w:sz="18" w:space="9" w:color="3DACBA"/>
        </w:pBdr>
        <w:shd w:val="clear" w:color="auto" w:fill="FFFFFF"/>
        <w:spacing w:before="0" w:beforeAutospacing="0" w:after="300" w:afterAutospacing="0"/>
        <w:rPr>
          <w:rFonts w:ascii="Source Sans Pro" w:hAnsi="Source Sans Pro"/>
          <w:color w:val="00426E"/>
        </w:rPr>
      </w:pPr>
      <w:bookmarkStart w:id="192" w:name="_Toc131144715"/>
      <w:r>
        <w:rPr>
          <w:rFonts w:ascii="Source Sans Pro" w:hAnsi="Source Sans Pro"/>
          <w:color w:val="00426E"/>
        </w:rPr>
        <w:t>Publications and resources</w:t>
      </w:r>
      <w:bookmarkEnd w:id="192"/>
    </w:p>
    <w:p w14:paraId="52252740" w14:textId="004B34CD" w:rsidR="009D0B41" w:rsidRDefault="00000000">
      <w:pPr>
        <w:pStyle w:val="related-info-item"/>
        <w:numPr>
          <w:ilvl w:val="0"/>
          <w:numId w:val="49"/>
        </w:numPr>
        <w:shd w:val="clear" w:color="auto" w:fill="FFFFFF"/>
        <w:spacing w:before="0" w:beforeAutospacing="0" w:after="0" w:afterAutospacing="0"/>
        <w:rPr>
          <w:rFonts w:ascii="Source Sans Pro" w:hAnsi="Source Sans Pro"/>
          <w:color w:val="474747"/>
        </w:rPr>
      </w:pPr>
      <w:hyperlink r:id="rId125" w:tgtFrame="_self" w:tooltip="Guide to the Human Rights Act 2019 – ‘Know Your Human Rights’—(Queensland Advocacy Incorporated)" w:history="1">
        <w:r w:rsidR="009D0B41">
          <w:rPr>
            <w:rStyle w:val="Hyperlink"/>
            <w:rFonts w:ascii="Source Sans Pro" w:eastAsiaTheme="majorEastAsia" w:hAnsi="Source Sans Pro"/>
            <w:color w:val="005288"/>
          </w:rPr>
          <w:t>Guide to the Human Rights Act 2019 – ‘Know Your Human Rights’—(Queensland Advocacy Incorporated)</w:t>
        </w:r>
      </w:hyperlink>
    </w:p>
    <w:p w14:paraId="765FA993" w14:textId="77777777" w:rsidR="009D0B41" w:rsidRDefault="009D0B41" w:rsidP="009D0B41">
      <w:pPr>
        <w:pStyle w:val="related-info-item"/>
        <w:shd w:val="clear" w:color="auto" w:fill="FFFFFF"/>
        <w:spacing w:before="0" w:beforeAutospacing="0" w:after="0" w:afterAutospacing="0"/>
        <w:rPr>
          <w:rFonts w:ascii="Source Sans Pro" w:hAnsi="Source Sans Pro"/>
          <w:color w:val="474747"/>
        </w:rPr>
      </w:pPr>
    </w:p>
    <w:p w14:paraId="691141CD" w14:textId="3FAD8EC7" w:rsidR="00712FF9" w:rsidRDefault="004C1D51">
      <w:pPr>
        <w:rPr>
          <w:rFonts w:cs="Arial"/>
        </w:rPr>
      </w:pPr>
      <w:r>
        <w:rPr>
          <w:noProof/>
        </w:rPr>
        <w:drawing>
          <wp:inline distT="0" distB="0" distL="0" distR="0" wp14:anchorId="715BC71D" wp14:editId="51C56091">
            <wp:extent cx="1558637" cy="623455"/>
            <wp:effectExtent l="0" t="0" r="0" b="0"/>
            <wp:docPr id="12" name="Picture 12" descr="Queensland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ensland Human Rights Commiss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98398" cy="639359"/>
                    </a:xfrm>
                    <a:prstGeom prst="rect">
                      <a:avLst/>
                    </a:prstGeom>
                    <a:noFill/>
                    <a:ln>
                      <a:noFill/>
                    </a:ln>
                  </pic:spPr>
                </pic:pic>
              </a:graphicData>
            </a:graphic>
          </wp:inline>
        </w:drawing>
      </w:r>
    </w:p>
    <w:p w14:paraId="56CCECB7" w14:textId="77777777" w:rsidR="004C1D51" w:rsidRDefault="004C1D51" w:rsidP="004C1D51">
      <w:pPr>
        <w:pStyle w:val="Heading1"/>
        <w:shd w:val="clear" w:color="auto" w:fill="FFFFFF"/>
        <w:spacing w:before="0"/>
        <w:textAlignment w:val="baseline"/>
        <w:rPr>
          <w:rFonts w:cs="Arial"/>
          <w:color w:val="337A9E"/>
          <w:sz w:val="48"/>
        </w:rPr>
      </w:pPr>
      <w:bookmarkStart w:id="193" w:name="_Toc131144716"/>
      <w:r>
        <w:rPr>
          <w:rFonts w:cs="Arial"/>
          <w:color w:val="337A9E"/>
        </w:rPr>
        <w:lastRenderedPageBreak/>
        <w:t>Complaints</w:t>
      </w:r>
      <w:bookmarkEnd w:id="193"/>
    </w:p>
    <w:p w14:paraId="0EA20FA9" w14:textId="77777777" w:rsidR="004C1D51" w:rsidRDefault="004C1D51" w:rsidP="004C1D51">
      <w:pPr>
        <w:pStyle w:val="NormalWeb"/>
        <w:shd w:val="clear" w:color="auto" w:fill="FFFFFF"/>
        <w:spacing w:before="0" w:after="0"/>
        <w:textAlignment w:val="baseline"/>
        <w:rPr>
          <w:rFonts w:ascii="Arial" w:hAnsi="Arial" w:cs="Arial"/>
          <w:color w:val="484848"/>
          <w:sz w:val="22"/>
          <w:szCs w:val="22"/>
        </w:rPr>
      </w:pPr>
      <w:r>
        <w:rPr>
          <w:rFonts w:ascii="Arial" w:hAnsi="Arial" w:cs="Arial"/>
          <w:color w:val="484848"/>
          <w:sz w:val="22"/>
          <w:szCs w:val="22"/>
        </w:rPr>
        <w:t>We handle complaints under the </w:t>
      </w:r>
      <w:r>
        <w:rPr>
          <w:rStyle w:val="HTMLCite"/>
          <w:rFonts w:eastAsiaTheme="majorEastAsia" w:cs="Arial"/>
          <w:color w:val="484848"/>
          <w:sz w:val="22"/>
          <w:szCs w:val="22"/>
        </w:rPr>
        <w:t>Anti-Discrimination Act 1991. </w:t>
      </w:r>
      <w:r>
        <w:rPr>
          <w:rFonts w:ascii="Arial" w:hAnsi="Arial" w:cs="Arial"/>
          <w:color w:val="484848"/>
          <w:sz w:val="22"/>
          <w:szCs w:val="22"/>
        </w:rPr>
        <w:t>If you feel you may have experienced unlawful discrimination, sexual harassment, vilification, or another contravention of the Act, you may be able to make a complaint.</w:t>
      </w:r>
    </w:p>
    <w:p w14:paraId="7A3F7E70" w14:textId="77777777" w:rsidR="004C1D51" w:rsidRDefault="00000000">
      <w:pPr>
        <w:numPr>
          <w:ilvl w:val="0"/>
          <w:numId w:val="50"/>
        </w:numPr>
        <w:shd w:val="clear" w:color="auto" w:fill="FFFFFF"/>
        <w:spacing w:beforeAutospacing="1" w:after="0" w:afterAutospacing="1" w:line="240" w:lineRule="auto"/>
        <w:textAlignment w:val="baseline"/>
        <w:rPr>
          <w:rFonts w:cs="Arial"/>
          <w:color w:val="484848"/>
          <w:sz w:val="22"/>
        </w:rPr>
      </w:pPr>
      <w:hyperlink r:id="rId127" w:history="1">
        <w:r w:rsidR="004C1D51">
          <w:rPr>
            <w:rStyle w:val="Hyperlink"/>
            <w:rFonts w:cs="Arial"/>
            <w:color w:val="337A9E"/>
            <w:sz w:val="22"/>
          </w:rPr>
          <w:t>Find out more about the </w:t>
        </w:r>
        <w:r w:rsidR="004C1D51">
          <w:rPr>
            <w:rStyle w:val="Emphasis"/>
            <w:rFonts w:cs="Arial"/>
            <w:color w:val="484848"/>
            <w:sz w:val="22"/>
            <w:u w:val="single"/>
          </w:rPr>
          <w:t>Anti-Discrimination Act 1991</w:t>
        </w:r>
      </w:hyperlink>
    </w:p>
    <w:p w14:paraId="70E289CB" w14:textId="77777777" w:rsidR="004C1D51" w:rsidRDefault="004C1D51" w:rsidP="004C1D51">
      <w:pPr>
        <w:pStyle w:val="NormalWeb"/>
        <w:shd w:val="clear" w:color="auto" w:fill="FFFFFF"/>
        <w:spacing w:before="0" w:after="0"/>
        <w:textAlignment w:val="baseline"/>
        <w:rPr>
          <w:rFonts w:ascii="Arial" w:hAnsi="Arial" w:cs="Arial"/>
          <w:color w:val="484848"/>
          <w:sz w:val="22"/>
          <w:szCs w:val="22"/>
        </w:rPr>
      </w:pPr>
      <w:r>
        <w:rPr>
          <w:rFonts w:ascii="Arial" w:hAnsi="Arial" w:cs="Arial"/>
          <w:color w:val="484848"/>
          <w:sz w:val="22"/>
          <w:szCs w:val="22"/>
        </w:rPr>
        <w:t>We also handle complaints under the </w:t>
      </w:r>
      <w:r>
        <w:rPr>
          <w:rStyle w:val="HTMLCite"/>
          <w:rFonts w:eastAsiaTheme="majorEastAsia" w:cs="Arial"/>
          <w:color w:val="484848"/>
          <w:sz w:val="22"/>
          <w:szCs w:val="22"/>
        </w:rPr>
        <w:t>Human Rights Act 2019</w:t>
      </w:r>
      <w:r>
        <w:rPr>
          <w:rFonts w:ascii="Arial" w:hAnsi="Arial" w:cs="Arial"/>
          <w:color w:val="484848"/>
          <w:sz w:val="22"/>
          <w:szCs w:val="22"/>
        </w:rPr>
        <w:t>. If you feel your rights have been unjustifiably limited by a Queensland public entity, you may be able to make a complaint.</w:t>
      </w:r>
    </w:p>
    <w:p w14:paraId="3DCD1B5F" w14:textId="77777777" w:rsidR="004C1D51" w:rsidRDefault="00000000">
      <w:pPr>
        <w:numPr>
          <w:ilvl w:val="0"/>
          <w:numId w:val="51"/>
        </w:numPr>
        <w:shd w:val="clear" w:color="auto" w:fill="FFFFFF"/>
        <w:spacing w:beforeAutospacing="1" w:after="0" w:afterAutospacing="1" w:line="240" w:lineRule="auto"/>
        <w:textAlignment w:val="baseline"/>
        <w:rPr>
          <w:rFonts w:cs="Arial"/>
          <w:color w:val="484848"/>
          <w:sz w:val="22"/>
        </w:rPr>
      </w:pPr>
      <w:hyperlink r:id="rId128" w:history="1">
        <w:r w:rsidR="004C1D51">
          <w:rPr>
            <w:rStyle w:val="Hyperlink"/>
            <w:rFonts w:cs="Arial"/>
            <w:color w:val="337A9E"/>
            <w:sz w:val="22"/>
          </w:rPr>
          <w:t>Find out more about the </w:t>
        </w:r>
        <w:r w:rsidR="004C1D51">
          <w:rPr>
            <w:rStyle w:val="Emphasis"/>
            <w:rFonts w:cs="Arial"/>
            <w:color w:val="484848"/>
            <w:sz w:val="22"/>
            <w:u w:val="single"/>
          </w:rPr>
          <w:t>Human Rights Act 2019</w:t>
        </w:r>
      </w:hyperlink>
    </w:p>
    <w:p w14:paraId="009FD146" w14:textId="77777777" w:rsidR="004C1D51" w:rsidRDefault="004C1D51" w:rsidP="004C1D51">
      <w:pPr>
        <w:pStyle w:val="NormalWeb"/>
        <w:shd w:val="clear" w:color="auto" w:fill="FFFFFF"/>
        <w:spacing w:before="0" w:after="0"/>
        <w:textAlignment w:val="baseline"/>
        <w:rPr>
          <w:rFonts w:ascii="Arial" w:hAnsi="Arial" w:cs="Arial"/>
          <w:color w:val="484848"/>
          <w:sz w:val="22"/>
          <w:szCs w:val="22"/>
        </w:rPr>
      </w:pPr>
      <w:r>
        <w:rPr>
          <w:rFonts w:ascii="Arial" w:hAnsi="Arial" w:cs="Arial"/>
          <w:color w:val="484848"/>
          <w:sz w:val="22"/>
          <w:szCs w:val="22"/>
        </w:rPr>
        <w:t>Your complaint could be covered by the Anti-Discrimination Act, the Human Rights Act, or both. You don’t need to know if it’s a discrimination or human rights complaint in order to lodge it – we will contact you to discuss it after lodgement, to help figure out the best way of moving forward with it. You can also </w:t>
      </w:r>
      <w:hyperlink r:id="rId129" w:history="1">
        <w:r>
          <w:rPr>
            <w:rStyle w:val="Hyperlink"/>
            <w:rFonts w:eastAsiaTheme="majorEastAsia" w:cs="Arial"/>
            <w:color w:val="337A9E"/>
            <w:sz w:val="22"/>
            <w:szCs w:val="22"/>
          </w:rPr>
          <w:t>talk to us</w:t>
        </w:r>
      </w:hyperlink>
      <w:r>
        <w:rPr>
          <w:rFonts w:ascii="Arial" w:hAnsi="Arial" w:cs="Arial"/>
          <w:color w:val="484848"/>
          <w:sz w:val="22"/>
          <w:szCs w:val="22"/>
        </w:rPr>
        <w:t> before you lodge it if you’re unsure or need any more information.</w:t>
      </w:r>
    </w:p>
    <w:p w14:paraId="0E2C2208" w14:textId="77777777" w:rsidR="004C1D51" w:rsidRDefault="004C1D51" w:rsidP="004C1D51">
      <w:pPr>
        <w:pStyle w:val="NormalWeb"/>
        <w:shd w:val="clear" w:color="auto" w:fill="FFFFFF"/>
        <w:textAlignment w:val="baseline"/>
        <w:rPr>
          <w:rFonts w:ascii="Arial" w:hAnsi="Arial" w:cs="Arial"/>
          <w:color w:val="484848"/>
          <w:sz w:val="22"/>
          <w:szCs w:val="22"/>
        </w:rPr>
      </w:pPr>
      <w:r>
        <w:rPr>
          <w:rFonts w:ascii="Arial" w:hAnsi="Arial" w:cs="Arial"/>
          <w:color w:val="484848"/>
          <w:sz w:val="22"/>
          <w:szCs w:val="22"/>
        </w:rPr>
        <w:t>We attempt to resolve complaints through a dispute resolution process. The Commission is an independent body in this process and does not take sides, or have the power to decide if unlawful discrimination or other conduct has occurred.</w:t>
      </w:r>
    </w:p>
    <w:p w14:paraId="4E2237D7" w14:textId="77777777" w:rsidR="004C1D51" w:rsidRDefault="00000000">
      <w:pPr>
        <w:pStyle w:val="landing-linksitem"/>
        <w:numPr>
          <w:ilvl w:val="0"/>
          <w:numId w:val="52"/>
        </w:numPr>
        <w:shd w:val="clear" w:color="auto" w:fill="004270"/>
        <w:spacing w:before="0" w:after="0" w:afterAutospacing="0"/>
        <w:textAlignment w:val="baseline"/>
        <w:rPr>
          <w:rFonts w:ascii="Arial" w:hAnsi="Arial" w:cs="Arial"/>
          <w:b/>
          <w:bCs/>
          <w:color w:val="484848"/>
        </w:rPr>
      </w:pPr>
      <w:hyperlink r:id="rId130" w:history="1">
        <w:r w:rsidR="004C1D51">
          <w:rPr>
            <w:rStyle w:val="Hyperlink"/>
            <w:rFonts w:eastAsiaTheme="majorEastAsia" w:cs="Arial"/>
            <w:b/>
            <w:bCs/>
            <w:color w:val="FFFFFF"/>
          </w:rPr>
          <w:t>Making a complaint</w:t>
        </w:r>
      </w:hyperlink>
    </w:p>
    <w:p w14:paraId="11C51B85" w14:textId="77777777" w:rsidR="004C1D51" w:rsidRDefault="00000000">
      <w:pPr>
        <w:pStyle w:val="landing-linksitem"/>
        <w:numPr>
          <w:ilvl w:val="0"/>
          <w:numId w:val="52"/>
        </w:numPr>
        <w:shd w:val="clear" w:color="auto" w:fill="337A9E"/>
        <w:spacing w:before="0" w:after="0" w:afterAutospacing="0"/>
        <w:textAlignment w:val="baseline"/>
        <w:rPr>
          <w:rFonts w:ascii="Arial" w:hAnsi="Arial" w:cs="Arial"/>
          <w:b/>
          <w:bCs/>
          <w:color w:val="484848"/>
        </w:rPr>
      </w:pPr>
      <w:hyperlink r:id="rId131" w:history="1">
        <w:r w:rsidR="004C1D51">
          <w:rPr>
            <w:rStyle w:val="Hyperlink"/>
            <w:rFonts w:eastAsiaTheme="majorEastAsia" w:cs="Arial"/>
            <w:b/>
            <w:bCs/>
            <w:color w:val="FFFFFF"/>
          </w:rPr>
          <w:t>Responding to a complaint</w:t>
        </w:r>
      </w:hyperlink>
    </w:p>
    <w:p w14:paraId="51BD8865" w14:textId="77777777" w:rsidR="004C1D51" w:rsidRDefault="00000000">
      <w:pPr>
        <w:pStyle w:val="landing-linksitem"/>
        <w:numPr>
          <w:ilvl w:val="0"/>
          <w:numId w:val="52"/>
        </w:numPr>
        <w:shd w:val="clear" w:color="auto" w:fill="3A97A0"/>
        <w:spacing w:before="0" w:after="0" w:afterAutospacing="0"/>
        <w:textAlignment w:val="baseline"/>
        <w:rPr>
          <w:rFonts w:ascii="Arial" w:hAnsi="Arial" w:cs="Arial"/>
          <w:b/>
          <w:bCs/>
          <w:color w:val="484848"/>
        </w:rPr>
      </w:pPr>
      <w:hyperlink r:id="rId132" w:history="1">
        <w:r w:rsidR="004C1D51">
          <w:rPr>
            <w:rStyle w:val="Hyperlink"/>
            <w:rFonts w:eastAsiaTheme="majorEastAsia" w:cs="Arial"/>
            <w:b/>
            <w:bCs/>
            <w:color w:val="FFFFFF"/>
          </w:rPr>
          <w:t>Lodge your complaint online</w:t>
        </w:r>
      </w:hyperlink>
    </w:p>
    <w:p w14:paraId="6F2664AD" w14:textId="77777777" w:rsidR="004C1D51" w:rsidRDefault="00000000">
      <w:pPr>
        <w:pStyle w:val="landing-linksitem"/>
        <w:numPr>
          <w:ilvl w:val="0"/>
          <w:numId w:val="52"/>
        </w:numPr>
        <w:shd w:val="clear" w:color="auto" w:fill="D66121"/>
        <w:spacing w:before="0" w:after="0" w:afterAutospacing="0"/>
        <w:textAlignment w:val="baseline"/>
        <w:rPr>
          <w:rFonts w:ascii="Arial" w:hAnsi="Arial" w:cs="Arial"/>
          <w:b/>
          <w:bCs/>
          <w:color w:val="484848"/>
        </w:rPr>
      </w:pPr>
      <w:hyperlink r:id="rId133" w:history="1">
        <w:r w:rsidR="004C1D51">
          <w:rPr>
            <w:rStyle w:val="Hyperlink"/>
            <w:rFonts w:eastAsiaTheme="majorEastAsia" w:cs="Arial"/>
            <w:b/>
            <w:bCs/>
            <w:color w:val="FFFFFF"/>
          </w:rPr>
          <w:t>For advocates</w:t>
        </w:r>
      </w:hyperlink>
    </w:p>
    <w:p w14:paraId="2EF146D2" w14:textId="77777777" w:rsidR="004C1D51" w:rsidRDefault="00000000">
      <w:pPr>
        <w:pStyle w:val="landing-linksitem"/>
        <w:numPr>
          <w:ilvl w:val="0"/>
          <w:numId w:val="52"/>
        </w:numPr>
        <w:shd w:val="clear" w:color="auto" w:fill="C94A28"/>
        <w:spacing w:before="0" w:after="0" w:afterAutospacing="0"/>
        <w:textAlignment w:val="baseline"/>
        <w:rPr>
          <w:rFonts w:ascii="Arial" w:hAnsi="Arial" w:cs="Arial"/>
          <w:b/>
          <w:bCs/>
          <w:color w:val="484848"/>
        </w:rPr>
      </w:pPr>
      <w:hyperlink r:id="rId134" w:history="1">
        <w:r w:rsidR="004C1D51">
          <w:rPr>
            <w:rStyle w:val="Hyperlink"/>
            <w:rFonts w:eastAsiaTheme="majorEastAsia" w:cs="Arial"/>
            <w:b/>
            <w:bCs/>
            <w:color w:val="FFFFFF"/>
          </w:rPr>
          <w:t>Report racism</w:t>
        </w:r>
      </w:hyperlink>
    </w:p>
    <w:p w14:paraId="3B4268F6" w14:textId="0E4EFB2B" w:rsidR="004C1D51" w:rsidRDefault="004C1D51">
      <w:pPr>
        <w:rPr>
          <w:rFonts w:cs="Arial"/>
        </w:rPr>
      </w:pPr>
    </w:p>
    <w:p w14:paraId="221085F7" w14:textId="354A67C3" w:rsidR="004C1D51" w:rsidRDefault="004C1D51" w:rsidP="004C1D51">
      <w:pPr>
        <w:pStyle w:val="Heading1"/>
        <w:shd w:val="clear" w:color="auto" w:fill="FFFFFF"/>
        <w:spacing w:before="0"/>
        <w:textAlignment w:val="baseline"/>
        <w:rPr>
          <w:rFonts w:cs="Arial"/>
          <w:color w:val="337A9E"/>
        </w:rPr>
      </w:pPr>
      <w:bookmarkStart w:id="194" w:name="_Toc131144717"/>
      <w:r>
        <w:rPr>
          <w:rFonts w:cs="Arial"/>
          <w:color w:val="337A9E"/>
        </w:rPr>
        <w:t>Making a complaint</w:t>
      </w:r>
      <w:bookmarkEnd w:id="194"/>
    </w:p>
    <w:p w14:paraId="027B7EBB" w14:textId="77777777" w:rsidR="00F55B8A" w:rsidRPr="00F55B8A" w:rsidRDefault="00F55B8A" w:rsidP="00F55B8A"/>
    <w:p w14:paraId="6EF006A1" w14:textId="77777777" w:rsidR="004C1D51" w:rsidRDefault="00000000" w:rsidP="0047630B">
      <w:pPr>
        <w:pStyle w:val="NoSpacing"/>
        <w:spacing w:line="360" w:lineRule="auto"/>
      </w:pPr>
      <w:hyperlink r:id="rId135" w:tgtFrame="_blank" w:history="1">
        <w:r w:rsidR="004C1D51">
          <w:rPr>
            <w:rStyle w:val="Hyperlink"/>
            <w:rFonts w:cs="Arial"/>
            <w:color w:val="337A9E"/>
          </w:rPr>
          <w:t>Download this information as a pdf  </w:t>
        </w:r>
        <w:r w:rsidR="004C1D51">
          <w:rPr>
            <w:rStyle w:val="file-summary-info"/>
            <w:rFonts w:cs="Arial"/>
            <w:color w:val="484848"/>
            <w:u w:val="single"/>
          </w:rPr>
          <w:t>(PDF File, 637.4 KB)</w:t>
        </w:r>
      </w:hyperlink>
    </w:p>
    <w:p w14:paraId="093B4DA5" w14:textId="77777777" w:rsidR="004C1D51" w:rsidRDefault="004C1D51" w:rsidP="001B0774">
      <w:pPr>
        <w:pStyle w:val="NoSpacing"/>
        <w:spacing w:line="480" w:lineRule="auto"/>
        <w:rPr>
          <w:color w:val="337A9E"/>
          <w:sz w:val="36"/>
          <w:szCs w:val="36"/>
        </w:rPr>
      </w:pPr>
      <w:r>
        <w:rPr>
          <w:b/>
          <w:bCs/>
          <w:color w:val="337A9E"/>
        </w:rPr>
        <w:t>Who can complain?</w:t>
      </w:r>
    </w:p>
    <w:p w14:paraId="431E6FDC" w14:textId="77777777" w:rsidR="004C1D51" w:rsidRDefault="004C1D51" w:rsidP="001B0774">
      <w:pPr>
        <w:pStyle w:val="NoSpacing"/>
        <w:spacing w:line="480" w:lineRule="auto"/>
        <w:rPr>
          <w:b/>
          <w:bCs/>
          <w:color w:val="337A9E"/>
        </w:rPr>
      </w:pPr>
      <w:r>
        <w:rPr>
          <w:b/>
          <w:bCs/>
          <w:color w:val="337A9E"/>
        </w:rPr>
        <w:t>Complaints about discrimination</w:t>
      </w:r>
    </w:p>
    <w:p w14:paraId="01B61841" w14:textId="77777777" w:rsidR="004C1D51" w:rsidRDefault="004C1D51" w:rsidP="001B0774">
      <w:pPr>
        <w:pStyle w:val="NoSpacing"/>
        <w:spacing w:line="480" w:lineRule="auto"/>
        <w:rPr>
          <w:b/>
          <w:bCs/>
          <w:color w:val="337A9E"/>
        </w:rPr>
      </w:pPr>
      <w:r>
        <w:rPr>
          <w:b/>
          <w:bCs/>
          <w:color w:val="337A9E"/>
        </w:rPr>
        <w:t>Complaints about sexual harassment</w:t>
      </w:r>
    </w:p>
    <w:p w14:paraId="41CD141C" w14:textId="77777777" w:rsidR="004C1D51" w:rsidRDefault="004C1D51" w:rsidP="001B0774">
      <w:pPr>
        <w:pStyle w:val="NoSpacing"/>
        <w:spacing w:line="480" w:lineRule="auto"/>
        <w:rPr>
          <w:b/>
          <w:bCs/>
          <w:color w:val="337A9E"/>
        </w:rPr>
      </w:pPr>
      <w:r>
        <w:rPr>
          <w:b/>
          <w:bCs/>
          <w:color w:val="337A9E"/>
        </w:rPr>
        <w:t>Complaints about human rights</w:t>
      </w:r>
    </w:p>
    <w:p w14:paraId="73894D3D" w14:textId="77777777" w:rsidR="004C1D51" w:rsidRDefault="004C1D51" w:rsidP="001B0774">
      <w:pPr>
        <w:pStyle w:val="NoSpacing"/>
        <w:spacing w:line="480" w:lineRule="auto"/>
        <w:rPr>
          <w:b/>
          <w:bCs/>
          <w:color w:val="337A9E"/>
        </w:rPr>
      </w:pPr>
      <w:r>
        <w:rPr>
          <w:b/>
          <w:bCs/>
          <w:color w:val="337A9E"/>
        </w:rPr>
        <w:t>Complaints about vilification</w:t>
      </w:r>
    </w:p>
    <w:p w14:paraId="7565108C" w14:textId="77777777" w:rsidR="004C1D51" w:rsidRDefault="004C1D51" w:rsidP="001B0774">
      <w:pPr>
        <w:pStyle w:val="NoSpacing"/>
        <w:spacing w:line="480" w:lineRule="auto"/>
        <w:rPr>
          <w:b/>
          <w:bCs/>
          <w:color w:val="337A9E"/>
        </w:rPr>
      </w:pPr>
      <w:r>
        <w:rPr>
          <w:b/>
          <w:bCs/>
          <w:color w:val="337A9E"/>
        </w:rPr>
        <w:t>Other types of complaints</w:t>
      </w:r>
    </w:p>
    <w:p w14:paraId="4138C092" w14:textId="77777777" w:rsidR="004C1D51" w:rsidRDefault="004C1D51" w:rsidP="001B0774">
      <w:pPr>
        <w:pStyle w:val="NoSpacing"/>
        <w:spacing w:line="480" w:lineRule="auto"/>
        <w:rPr>
          <w:b/>
          <w:bCs/>
          <w:color w:val="337A9E"/>
        </w:rPr>
      </w:pPr>
      <w:r>
        <w:rPr>
          <w:b/>
          <w:bCs/>
          <w:color w:val="337A9E"/>
        </w:rPr>
        <w:t>How do I complain?</w:t>
      </w:r>
    </w:p>
    <w:p w14:paraId="394088AA" w14:textId="77777777" w:rsidR="004C1D51" w:rsidRDefault="004C1D51" w:rsidP="001B0774">
      <w:pPr>
        <w:pStyle w:val="NoSpacing"/>
        <w:spacing w:line="480" w:lineRule="auto"/>
        <w:rPr>
          <w:b/>
          <w:bCs/>
          <w:color w:val="337A9E"/>
        </w:rPr>
      </w:pPr>
      <w:r>
        <w:rPr>
          <w:b/>
          <w:bCs/>
          <w:color w:val="337A9E"/>
        </w:rPr>
        <w:t>Do I need a lawyer?</w:t>
      </w:r>
    </w:p>
    <w:p w14:paraId="7BC7C39C" w14:textId="77777777" w:rsidR="004C1D51" w:rsidRDefault="004C1D51" w:rsidP="001B0774">
      <w:pPr>
        <w:pStyle w:val="NoSpacing"/>
        <w:spacing w:line="480" w:lineRule="auto"/>
        <w:rPr>
          <w:b/>
          <w:bCs/>
          <w:color w:val="337A9E"/>
        </w:rPr>
      </w:pPr>
      <w:r>
        <w:rPr>
          <w:b/>
          <w:bCs/>
          <w:color w:val="337A9E"/>
        </w:rPr>
        <w:t>What should I include in my complaint?</w:t>
      </w:r>
    </w:p>
    <w:p w14:paraId="39A8406B" w14:textId="77777777" w:rsidR="004C1D51" w:rsidRDefault="004C1D51" w:rsidP="001B0774">
      <w:pPr>
        <w:pStyle w:val="NoSpacing"/>
        <w:spacing w:line="480" w:lineRule="auto"/>
        <w:rPr>
          <w:b/>
          <w:bCs/>
          <w:color w:val="337A9E"/>
        </w:rPr>
      </w:pPr>
      <w:r>
        <w:rPr>
          <w:b/>
          <w:bCs/>
          <w:color w:val="337A9E"/>
        </w:rPr>
        <w:t>Can I withdraw my complaint?</w:t>
      </w:r>
    </w:p>
    <w:p w14:paraId="06BC0F62" w14:textId="77777777" w:rsidR="004C1D51" w:rsidRDefault="004C1D51" w:rsidP="001B0774">
      <w:pPr>
        <w:pStyle w:val="NoSpacing"/>
        <w:spacing w:line="480" w:lineRule="auto"/>
        <w:rPr>
          <w:b/>
          <w:bCs/>
          <w:color w:val="337A9E"/>
        </w:rPr>
      </w:pPr>
      <w:r>
        <w:rPr>
          <w:b/>
          <w:bCs/>
          <w:color w:val="337A9E"/>
        </w:rPr>
        <w:lastRenderedPageBreak/>
        <w:t>What happens with my complaint?</w:t>
      </w:r>
    </w:p>
    <w:p w14:paraId="77A6D327" w14:textId="77777777" w:rsidR="004C1D51" w:rsidRDefault="004C1D51" w:rsidP="001B0774">
      <w:pPr>
        <w:pStyle w:val="NoSpacing"/>
        <w:spacing w:line="480" w:lineRule="auto"/>
        <w:rPr>
          <w:b/>
          <w:bCs/>
          <w:color w:val="337A9E"/>
        </w:rPr>
      </w:pPr>
      <w:r>
        <w:rPr>
          <w:b/>
          <w:bCs/>
          <w:color w:val="337A9E"/>
        </w:rPr>
        <w:t>What is the Commission's role?</w:t>
      </w:r>
    </w:p>
    <w:p w14:paraId="151C897A" w14:textId="2D66F9D3" w:rsidR="00D061F5" w:rsidRDefault="004C1D51" w:rsidP="001B0774">
      <w:pPr>
        <w:pStyle w:val="NoSpacing"/>
        <w:spacing w:line="480" w:lineRule="auto"/>
        <w:rPr>
          <w:b/>
          <w:bCs/>
          <w:color w:val="337A9E"/>
        </w:rPr>
      </w:pPr>
      <w:r>
        <w:rPr>
          <w:b/>
          <w:bCs/>
          <w:color w:val="337A9E"/>
        </w:rPr>
        <w:t>Privacy information for people making a complaint</w:t>
      </w:r>
    </w:p>
    <w:p w14:paraId="1F0FE97E" w14:textId="1C1681A1" w:rsidR="00F55B8A" w:rsidRDefault="00F55B8A" w:rsidP="00F55B8A">
      <w:pPr>
        <w:pStyle w:val="NoSpacing"/>
        <w:rPr>
          <w:b/>
          <w:bCs/>
          <w:color w:val="337A9E"/>
        </w:rPr>
      </w:pPr>
    </w:p>
    <w:p w14:paraId="2677C6FF" w14:textId="77777777" w:rsidR="003E7F60" w:rsidRDefault="003E7F60" w:rsidP="00F55B8A">
      <w:pPr>
        <w:pStyle w:val="NoSpacing"/>
        <w:rPr>
          <w:b/>
          <w:bCs/>
          <w:color w:val="337A9E"/>
        </w:rPr>
      </w:pPr>
    </w:p>
    <w:p w14:paraId="660051AE" w14:textId="77777777" w:rsidR="00F55B8A" w:rsidRDefault="00F55B8A" w:rsidP="00F55B8A">
      <w:pPr>
        <w:pStyle w:val="NoSpacing"/>
        <w:rPr>
          <w:b/>
          <w:bCs/>
          <w:color w:val="337A9E"/>
        </w:rPr>
      </w:pPr>
    </w:p>
    <w:p w14:paraId="1379AD7E" w14:textId="77F6291C" w:rsidR="004C1D51" w:rsidRDefault="004C1D51" w:rsidP="00DB2DAB">
      <w:pPr>
        <w:pStyle w:val="BodyText"/>
        <w:ind w:left="133"/>
        <w:rPr>
          <w:rFonts w:ascii="Times New Roman"/>
        </w:rPr>
      </w:pPr>
      <w:r>
        <w:rPr>
          <w:rFonts w:ascii="Times New Roman"/>
          <w:noProof/>
        </w:rPr>
        <w:drawing>
          <wp:inline distT="0" distB="0" distL="0" distR="0" wp14:anchorId="29B85637" wp14:editId="76467E21">
            <wp:extent cx="1413163" cy="45566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66288" cy="472795"/>
                    </a:xfrm>
                    <a:prstGeom prst="rect">
                      <a:avLst/>
                    </a:prstGeom>
                    <a:noFill/>
                    <a:ln>
                      <a:noFill/>
                    </a:ln>
                  </pic:spPr>
                </pic:pic>
              </a:graphicData>
            </a:graphic>
          </wp:inline>
        </w:drawing>
      </w:r>
    </w:p>
    <w:p w14:paraId="5BC95290" w14:textId="72146C13" w:rsidR="004C1D51" w:rsidRDefault="004C1D51" w:rsidP="004C1D51">
      <w:pPr>
        <w:pStyle w:val="BodyText"/>
        <w:spacing w:before="9"/>
        <w:rPr>
          <w:b/>
          <w:sz w:val="19"/>
        </w:rPr>
      </w:pPr>
      <w:r>
        <w:rPr>
          <w:noProof/>
        </w:rPr>
        <mc:AlternateContent>
          <mc:Choice Requires="wps">
            <w:drawing>
              <wp:anchor distT="0" distB="0" distL="0" distR="0" simplePos="0" relativeHeight="251675648" behindDoc="1" locked="0" layoutInCell="1" allowOverlap="1" wp14:anchorId="51B89F10" wp14:editId="42487DF1">
                <wp:simplePos x="0" y="0"/>
                <wp:positionH relativeFrom="page">
                  <wp:posOffset>720090</wp:posOffset>
                </wp:positionH>
                <wp:positionV relativeFrom="paragraph">
                  <wp:posOffset>160020</wp:posOffset>
                </wp:positionV>
                <wp:extent cx="5562600" cy="1270"/>
                <wp:effectExtent l="15240" t="7620" r="13335" b="1016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134 1134"/>
                            <a:gd name="T1" fmla="*/ T0 w 8760"/>
                            <a:gd name="T2" fmla="+- 0 9893 1134"/>
                            <a:gd name="T3" fmla="*/ T2 w 8760"/>
                          </a:gdLst>
                          <a:ahLst/>
                          <a:cxnLst>
                            <a:cxn ang="0">
                              <a:pos x="T1" y="0"/>
                            </a:cxn>
                            <a:cxn ang="0">
                              <a:pos x="T3" y="0"/>
                            </a:cxn>
                          </a:cxnLst>
                          <a:rect l="0" t="0" r="r" b="b"/>
                          <a:pathLst>
                            <a:path w="8760">
                              <a:moveTo>
                                <a:pt x="0" y="0"/>
                              </a:moveTo>
                              <a:lnTo>
                                <a:pt x="8759" y="0"/>
                              </a:lnTo>
                            </a:path>
                          </a:pathLst>
                        </a:custGeom>
                        <a:noFill/>
                        <a:ln w="12700">
                          <a:solidFill>
                            <a:srgbClr val="373D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409B" id="Freeform: Shape 19" o:spid="_x0000_s1026" style="position:absolute;margin-left:56.7pt;margin-top:12.6pt;width:438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" path="m,l8759,e" filled="f" strokecolor="#373d42" strokeweight="1pt">
                <v:path arrowok="t" o:connecttype="custom" o:connectlocs="0,0;5561965,0" o:connectangles="0,0"/>
                <w10:wrap type="topAndBottom" anchorx="page"/>
              </v:shape>
            </w:pict>
          </mc:Fallback>
        </mc:AlternateContent>
      </w:r>
    </w:p>
    <w:p w14:paraId="55713D9F" w14:textId="77777777" w:rsidR="004C1D51" w:rsidRDefault="004C1D51" w:rsidP="004C1D51">
      <w:pPr>
        <w:pStyle w:val="Title"/>
        <w:rPr>
          <w:b w:val="0"/>
          <w:sz w:val="48"/>
        </w:rPr>
      </w:pPr>
      <w:r>
        <w:rPr>
          <w:color w:val="373D42"/>
        </w:rPr>
        <w:t>Making a</w:t>
      </w:r>
      <w:r>
        <w:rPr>
          <w:color w:val="373D42"/>
          <w:spacing w:val="-1"/>
        </w:rPr>
        <w:t xml:space="preserve"> </w:t>
      </w:r>
      <w:r>
        <w:rPr>
          <w:color w:val="373D42"/>
          <w:spacing w:val="-2"/>
        </w:rPr>
        <w:t>complaint</w:t>
      </w:r>
    </w:p>
    <w:p w14:paraId="7455D865" w14:textId="77777777" w:rsidR="004C1D51" w:rsidRDefault="004C1D51" w:rsidP="004C1D51">
      <w:pPr>
        <w:pStyle w:val="Heading1"/>
        <w:spacing w:before="324"/>
      </w:pPr>
      <w:bookmarkStart w:id="195" w:name="_Toc131144718"/>
      <w:r>
        <w:rPr>
          <w:color w:val="347A9F"/>
        </w:rPr>
        <w:t>Who</w:t>
      </w:r>
      <w:r>
        <w:rPr>
          <w:color w:val="347A9F"/>
          <w:spacing w:val="-1"/>
        </w:rPr>
        <w:t xml:space="preserve"> </w:t>
      </w:r>
      <w:r>
        <w:rPr>
          <w:color w:val="347A9F"/>
        </w:rPr>
        <w:t xml:space="preserve">can </w:t>
      </w:r>
      <w:r>
        <w:rPr>
          <w:color w:val="347A9F"/>
          <w:spacing w:val="-2"/>
        </w:rPr>
        <w:t>complain?</w:t>
      </w:r>
      <w:bookmarkEnd w:id="195"/>
    </w:p>
    <w:p w14:paraId="1C5BA084" w14:textId="77777777" w:rsidR="004C1D51" w:rsidRDefault="004C1D51" w:rsidP="004C1D51">
      <w:pPr>
        <w:pStyle w:val="BodyText"/>
        <w:spacing w:before="186" w:line="290" w:lineRule="auto"/>
        <w:ind w:left="113"/>
      </w:pPr>
      <w:r>
        <w:rPr>
          <w:color w:val="010202"/>
        </w:rPr>
        <w:t>Anti-discrimination</w:t>
      </w:r>
      <w:r>
        <w:rPr>
          <w:color w:val="010202"/>
          <w:spacing w:val="-4"/>
        </w:rPr>
        <w:t xml:space="preserve"> </w:t>
      </w:r>
      <w:r>
        <w:rPr>
          <w:color w:val="010202"/>
        </w:rPr>
        <w:t>and</w:t>
      </w:r>
      <w:r>
        <w:rPr>
          <w:color w:val="010202"/>
          <w:spacing w:val="-4"/>
        </w:rPr>
        <w:t xml:space="preserve"> </w:t>
      </w:r>
      <w:r>
        <w:rPr>
          <w:color w:val="010202"/>
        </w:rPr>
        <w:t>human</w:t>
      </w:r>
      <w:r>
        <w:rPr>
          <w:color w:val="010202"/>
          <w:spacing w:val="-5"/>
        </w:rPr>
        <w:t xml:space="preserve"> </w:t>
      </w:r>
      <w:r>
        <w:rPr>
          <w:color w:val="010202"/>
        </w:rPr>
        <w:t>rights</w:t>
      </w:r>
      <w:r>
        <w:rPr>
          <w:color w:val="010202"/>
          <w:spacing w:val="-4"/>
        </w:rPr>
        <w:t xml:space="preserve"> </w:t>
      </w:r>
      <w:r>
        <w:rPr>
          <w:color w:val="010202"/>
        </w:rPr>
        <w:t>laws</w:t>
      </w:r>
      <w:r>
        <w:rPr>
          <w:color w:val="010202"/>
          <w:spacing w:val="-4"/>
        </w:rPr>
        <w:t xml:space="preserve"> </w:t>
      </w:r>
      <w:r>
        <w:rPr>
          <w:color w:val="010202"/>
        </w:rPr>
        <w:t>protect</w:t>
      </w:r>
      <w:r>
        <w:rPr>
          <w:color w:val="010202"/>
          <w:spacing w:val="-5"/>
        </w:rPr>
        <w:t xml:space="preserve"> </w:t>
      </w:r>
      <w:r>
        <w:rPr>
          <w:color w:val="010202"/>
        </w:rPr>
        <w:t>everyone</w:t>
      </w:r>
      <w:r>
        <w:rPr>
          <w:color w:val="010202"/>
          <w:spacing w:val="-4"/>
        </w:rPr>
        <w:t xml:space="preserve"> </w:t>
      </w:r>
      <w:r>
        <w:rPr>
          <w:color w:val="010202"/>
        </w:rPr>
        <w:t>in</w:t>
      </w:r>
      <w:r>
        <w:rPr>
          <w:color w:val="010202"/>
          <w:spacing w:val="-5"/>
        </w:rPr>
        <w:t xml:space="preserve"> </w:t>
      </w:r>
      <w:r>
        <w:rPr>
          <w:color w:val="010202"/>
        </w:rPr>
        <w:t>Queensland.</w:t>
      </w:r>
      <w:r>
        <w:rPr>
          <w:color w:val="010202"/>
          <w:spacing w:val="-6"/>
        </w:rPr>
        <w:t xml:space="preserve"> </w:t>
      </w:r>
      <w:r>
        <w:rPr>
          <w:color w:val="010202"/>
        </w:rPr>
        <w:t>You</w:t>
      </w:r>
      <w:r>
        <w:rPr>
          <w:color w:val="010202"/>
          <w:spacing w:val="-4"/>
        </w:rPr>
        <w:t xml:space="preserve"> </w:t>
      </w:r>
      <w:r>
        <w:rPr>
          <w:color w:val="010202"/>
        </w:rPr>
        <w:t>don’t</w:t>
      </w:r>
      <w:r>
        <w:rPr>
          <w:color w:val="010202"/>
          <w:spacing w:val="-5"/>
        </w:rPr>
        <w:t xml:space="preserve"> </w:t>
      </w:r>
      <w:r>
        <w:rPr>
          <w:color w:val="010202"/>
        </w:rPr>
        <w:t>have</w:t>
      </w:r>
      <w:r>
        <w:rPr>
          <w:color w:val="010202"/>
          <w:spacing w:val="-4"/>
        </w:rPr>
        <w:t xml:space="preserve"> </w:t>
      </w:r>
      <w:r>
        <w:rPr>
          <w:color w:val="010202"/>
        </w:rPr>
        <w:t>to</w:t>
      </w:r>
      <w:r>
        <w:rPr>
          <w:color w:val="010202"/>
          <w:spacing w:val="-4"/>
        </w:rPr>
        <w:t xml:space="preserve"> </w:t>
      </w:r>
      <w:r>
        <w:rPr>
          <w:color w:val="010202"/>
        </w:rPr>
        <w:t>be</w:t>
      </w:r>
      <w:r>
        <w:rPr>
          <w:color w:val="010202"/>
          <w:spacing w:val="-4"/>
        </w:rPr>
        <w:t xml:space="preserve"> </w:t>
      </w:r>
      <w:r>
        <w:rPr>
          <w:color w:val="010202"/>
        </w:rPr>
        <w:t>a resident, a citizen, or have a particular visa status to make a complaint.</w:t>
      </w:r>
    </w:p>
    <w:p w14:paraId="0229AB51" w14:textId="77777777" w:rsidR="004C1D51" w:rsidRDefault="004C1D51" w:rsidP="004C1D51">
      <w:pPr>
        <w:pStyle w:val="BodyText"/>
        <w:spacing w:before="169"/>
        <w:ind w:left="113"/>
      </w:pPr>
      <w:r>
        <w:rPr>
          <w:color w:val="010202"/>
        </w:rPr>
        <w:t>However,</w:t>
      </w:r>
      <w:r>
        <w:rPr>
          <w:color w:val="010202"/>
          <w:spacing w:val="-5"/>
        </w:rPr>
        <w:t xml:space="preserve"> </w:t>
      </w:r>
      <w:r>
        <w:rPr>
          <w:color w:val="010202"/>
        </w:rPr>
        <w:t>discrimination,</w:t>
      </w:r>
      <w:r>
        <w:rPr>
          <w:color w:val="010202"/>
          <w:spacing w:val="-5"/>
        </w:rPr>
        <w:t xml:space="preserve"> </w:t>
      </w:r>
      <w:r>
        <w:rPr>
          <w:color w:val="010202"/>
        </w:rPr>
        <w:t>sexual</w:t>
      </w:r>
      <w:r>
        <w:rPr>
          <w:color w:val="010202"/>
          <w:spacing w:val="-4"/>
        </w:rPr>
        <w:t xml:space="preserve"> </w:t>
      </w:r>
      <w:r>
        <w:rPr>
          <w:color w:val="010202"/>
        </w:rPr>
        <w:t>harassment,</w:t>
      </w:r>
      <w:r>
        <w:rPr>
          <w:color w:val="010202"/>
          <w:spacing w:val="-5"/>
        </w:rPr>
        <w:t xml:space="preserve"> </w:t>
      </w:r>
      <w:r>
        <w:rPr>
          <w:color w:val="010202"/>
        </w:rPr>
        <w:t>and</w:t>
      </w:r>
      <w:r>
        <w:rPr>
          <w:color w:val="010202"/>
          <w:spacing w:val="-6"/>
        </w:rPr>
        <w:t xml:space="preserve"> </w:t>
      </w:r>
      <w:r>
        <w:rPr>
          <w:color w:val="010202"/>
        </w:rPr>
        <w:t>human</w:t>
      </w:r>
      <w:r>
        <w:rPr>
          <w:color w:val="010202"/>
          <w:spacing w:val="-5"/>
        </w:rPr>
        <w:t xml:space="preserve"> </w:t>
      </w:r>
      <w:r>
        <w:rPr>
          <w:color w:val="010202"/>
        </w:rPr>
        <w:t>rights</w:t>
      </w:r>
      <w:r>
        <w:rPr>
          <w:color w:val="010202"/>
          <w:spacing w:val="-4"/>
        </w:rPr>
        <w:t xml:space="preserve"> </w:t>
      </w:r>
      <w:r>
        <w:rPr>
          <w:color w:val="010202"/>
        </w:rPr>
        <w:t>complaints</w:t>
      </w:r>
      <w:r>
        <w:rPr>
          <w:color w:val="010202"/>
          <w:spacing w:val="-4"/>
        </w:rPr>
        <w:t xml:space="preserve"> </w:t>
      </w:r>
      <w:r>
        <w:rPr>
          <w:color w:val="010202"/>
        </w:rPr>
        <w:t>can</w:t>
      </w:r>
      <w:r>
        <w:rPr>
          <w:color w:val="010202"/>
          <w:spacing w:val="-5"/>
        </w:rPr>
        <w:t xml:space="preserve"> </w:t>
      </w:r>
      <w:r>
        <w:rPr>
          <w:color w:val="010202"/>
        </w:rPr>
        <w:t>only</w:t>
      </w:r>
      <w:r>
        <w:rPr>
          <w:color w:val="010202"/>
          <w:spacing w:val="-5"/>
        </w:rPr>
        <w:t xml:space="preserve"> </w:t>
      </w:r>
      <w:r>
        <w:rPr>
          <w:color w:val="010202"/>
        </w:rPr>
        <w:t>be</w:t>
      </w:r>
      <w:r>
        <w:rPr>
          <w:color w:val="010202"/>
          <w:spacing w:val="-5"/>
        </w:rPr>
        <w:t xml:space="preserve"> </w:t>
      </w:r>
      <w:r>
        <w:rPr>
          <w:color w:val="010202"/>
        </w:rPr>
        <w:t>made</w:t>
      </w:r>
      <w:r>
        <w:rPr>
          <w:color w:val="010202"/>
          <w:spacing w:val="-4"/>
        </w:rPr>
        <w:t xml:space="preserve"> </w:t>
      </w:r>
      <w:r>
        <w:rPr>
          <w:color w:val="010202"/>
          <w:spacing w:val="-5"/>
        </w:rPr>
        <w:t>by</w:t>
      </w:r>
    </w:p>
    <w:p w14:paraId="139E0138" w14:textId="77777777" w:rsidR="004C1D51" w:rsidRDefault="004C1D51" w:rsidP="004C1D51">
      <w:pPr>
        <w:pStyle w:val="BodyText"/>
        <w:spacing w:before="50"/>
        <w:ind w:left="113"/>
      </w:pPr>
      <w:r>
        <w:rPr>
          <w:color w:val="010202"/>
        </w:rPr>
        <w:t>someone</w:t>
      </w:r>
      <w:r>
        <w:rPr>
          <w:color w:val="010202"/>
          <w:spacing w:val="-5"/>
        </w:rPr>
        <w:t xml:space="preserve"> </w:t>
      </w:r>
      <w:r>
        <w:rPr>
          <w:color w:val="010202"/>
        </w:rPr>
        <w:t>personally</w:t>
      </w:r>
      <w:r>
        <w:rPr>
          <w:color w:val="010202"/>
          <w:spacing w:val="-6"/>
        </w:rPr>
        <w:t xml:space="preserve"> </w:t>
      </w:r>
      <w:r>
        <w:rPr>
          <w:color w:val="010202"/>
        </w:rPr>
        <w:t>affected</w:t>
      </w:r>
      <w:r>
        <w:rPr>
          <w:color w:val="010202"/>
          <w:spacing w:val="-6"/>
        </w:rPr>
        <w:t xml:space="preserve"> </w:t>
      </w:r>
      <w:r>
        <w:rPr>
          <w:color w:val="010202"/>
        </w:rPr>
        <w:t>by</w:t>
      </w:r>
      <w:r>
        <w:rPr>
          <w:color w:val="010202"/>
          <w:spacing w:val="-6"/>
        </w:rPr>
        <w:t xml:space="preserve"> </w:t>
      </w:r>
      <w:r>
        <w:rPr>
          <w:color w:val="010202"/>
        </w:rPr>
        <w:t>a</w:t>
      </w:r>
      <w:r>
        <w:rPr>
          <w:color w:val="010202"/>
          <w:spacing w:val="-6"/>
        </w:rPr>
        <w:t xml:space="preserve"> </w:t>
      </w:r>
      <w:r>
        <w:rPr>
          <w:color w:val="010202"/>
          <w:spacing w:val="-2"/>
        </w:rPr>
        <w:t>situation.</w:t>
      </w:r>
    </w:p>
    <w:p w14:paraId="2FA17D11" w14:textId="77777777" w:rsidR="004C1D51" w:rsidRDefault="004C1D51" w:rsidP="004C1D51">
      <w:pPr>
        <w:pStyle w:val="BodyText"/>
        <w:spacing w:before="1"/>
        <w:rPr>
          <w:sz w:val="19"/>
        </w:rPr>
      </w:pPr>
    </w:p>
    <w:p w14:paraId="6147B6BD" w14:textId="77777777" w:rsidR="004C1D51" w:rsidRDefault="004C1D51" w:rsidP="004C1D51">
      <w:pPr>
        <w:pStyle w:val="BodyText"/>
        <w:spacing w:line="290" w:lineRule="auto"/>
        <w:ind w:left="113" w:right="380"/>
      </w:pPr>
      <w:r>
        <w:rPr>
          <w:color w:val="010202"/>
        </w:rPr>
        <w:t>If</w:t>
      </w:r>
      <w:r>
        <w:rPr>
          <w:color w:val="010202"/>
          <w:spacing w:val="-2"/>
        </w:rPr>
        <w:t xml:space="preserve"> </w:t>
      </w:r>
      <w:r>
        <w:rPr>
          <w:color w:val="010202"/>
        </w:rPr>
        <w:t>someone</w:t>
      </w:r>
      <w:r>
        <w:rPr>
          <w:color w:val="010202"/>
          <w:spacing w:val="-2"/>
        </w:rPr>
        <w:t xml:space="preserve"> </w:t>
      </w:r>
      <w:r>
        <w:rPr>
          <w:color w:val="010202"/>
        </w:rPr>
        <w:t>cannot</w:t>
      </w:r>
      <w:r>
        <w:rPr>
          <w:color w:val="010202"/>
          <w:spacing w:val="-2"/>
        </w:rPr>
        <w:t xml:space="preserve"> </w:t>
      </w:r>
      <w:r>
        <w:rPr>
          <w:color w:val="010202"/>
        </w:rPr>
        <w:t>make</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themself</w:t>
      </w:r>
      <w:r>
        <w:rPr>
          <w:color w:val="010202"/>
          <w:spacing w:val="-2"/>
        </w:rPr>
        <w:t xml:space="preserve"> </w:t>
      </w:r>
      <w:r>
        <w:rPr>
          <w:color w:val="010202"/>
        </w:rPr>
        <w:t>–</w:t>
      </w:r>
      <w:r>
        <w:rPr>
          <w:color w:val="010202"/>
          <w:spacing w:val="-3"/>
        </w:rPr>
        <w:t xml:space="preserve"> </w:t>
      </w:r>
      <w:r>
        <w:rPr>
          <w:color w:val="010202"/>
        </w:rPr>
        <w:t>such</w:t>
      </w:r>
      <w:r>
        <w:rPr>
          <w:color w:val="010202"/>
          <w:spacing w:val="-2"/>
        </w:rPr>
        <w:t xml:space="preserve"> </w:t>
      </w:r>
      <w:r>
        <w:rPr>
          <w:color w:val="010202"/>
        </w:rPr>
        <w:t>as</w:t>
      </w:r>
      <w:r>
        <w:rPr>
          <w:color w:val="010202"/>
          <w:spacing w:val="-3"/>
        </w:rPr>
        <w:t xml:space="preserve"> </w:t>
      </w:r>
      <w:r>
        <w:rPr>
          <w:color w:val="010202"/>
        </w:rPr>
        <w:t>a</w:t>
      </w:r>
      <w:r>
        <w:rPr>
          <w:color w:val="010202"/>
          <w:spacing w:val="-3"/>
        </w:rPr>
        <w:t xml:space="preserve"> </w:t>
      </w:r>
      <w:r>
        <w:rPr>
          <w:color w:val="010202"/>
        </w:rPr>
        <w:t>child</w:t>
      </w:r>
      <w:r>
        <w:rPr>
          <w:color w:val="010202"/>
          <w:spacing w:val="-2"/>
        </w:rPr>
        <w:t xml:space="preserve"> </w:t>
      </w:r>
      <w:r>
        <w:rPr>
          <w:color w:val="010202"/>
        </w:rPr>
        <w:t>or</w:t>
      </w:r>
      <w:r>
        <w:rPr>
          <w:color w:val="010202"/>
          <w:spacing w:val="-3"/>
        </w:rPr>
        <w:t xml:space="preserve"> </w:t>
      </w:r>
      <w:r>
        <w:rPr>
          <w:color w:val="010202"/>
        </w:rPr>
        <w:t>a</w:t>
      </w:r>
      <w:r>
        <w:rPr>
          <w:color w:val="010202"/>
          <w:spacing w:val="-3"/>
        </w:rPr>
        <w:t xml:space="preserve"> </w:t>
      </w:r>
      <w:r>
        <w:rPr>
          <w:color w:val="010202"/>
        </w:rPr>
        <w:t>person</w:t>
      </w:r>
      <w:r>
        <w:rPr>
          <w:color w:val="010202"/>
          <w:spacing w:val="-3"/>
        </w:rPr>
        <w:t xml:space="preserve"> </w:t>
      </w:r>
      <w:r>
        <w:rPr>
          <w:color w:val="010202"/>
        </w:rPr>
        <w:t>with</w:t>
      </w:r>
      <w:r>
        <w:rPr>
          <w:color w:val="010202"/>
          <w:spacing w:val="-3"/>
        </w:rPr>
        <w:t xml:space="preserve"> </w:t>
      </w:r>
      <w:r>
        <w:rPr>
          <w:color w:val="010202"/>
        </w:rPr>
        <w:t>disability</w:t>
      </w:r>
      <w:r>
        <w:rPr>
          <w:color w:val="010202"/>
          <w:spacing w:val="-3"/>
        </w:rPr>
        <w:t xml:space="preserve"> </w:t>
      </w:r>
      <w:r>
        <w:rPr>
          <w:color w:val="010202"/>
        </w:rPr>
        <w:t>–</w:t>
      </w:r>
      <w:r>
        <w:rPr>
          <w:color w:val="010202"/>
          <w:spacing w:val="-3"/>
        </w:rPr>
        <w:t xml:space="preserve"> </w:t>
      </w:r>
      <w:r>
        <w:rPr>
          <w:color w:val="010202"/>
        </w:rPr>
        <w:t xml:space="preserve">we may </w:t>
      </w:r>
      <w:proofErr w:type="spellStart"/>
      <w:r>
        <w:rPr>
          <w:color w:val="010202"/>
        </w:rPr>
        <w:t>authorise</w:t>
      </w:r>
      <w:proofErr w:type="spellEnd"/>
      <w:r>
        <w:rPr>
          <w:color w:val="010202"/>
        </w:rPr>
        <w:t xml:space="preserve"> someone, such as a parent or guardian, to make a complaint on their behalf.</w:t>
      </w:r>
    </w:p>
    <w:p w14:paraId="173A4808" w14:textId="77777777" w:rsidR="004C1D51" w:rsidRDefault="004C1D51" w:rsidP="004C1D51">
      <w:pPr>
        <w:pStyle w:val="BodyText"/>
        <w:spacing w:line="290" w:lineRule="auto"/>
        <w:ind w:left="113"/>
      </w:pPr>
      <w:r>
        <w:rPr>
          <w:color w:val="010202"/>
        </w:rPr>
        <w:t>Contact</w:t>
      </w:r>
      <w:r>
        <w:rPr>
          <w:color w:val="010202"/>
          <w:spacing w:val="-3"/>
        </w:rPr>
        <w:t xml:space="preserve"> </w:t>
      </w:r>
      <w:r>
        <w:rPr>
          <w:color w:val="010202"/>
        </w:rPr>
        <w:t>our</w:t>
      </w:r>
      <w:r>
        <w:rPr>
          <w:color w:val="010202"/>
          <w:spacing w:val="-3"/>
        </w:rPr>
        <w:t xml:space="preserve"> </w:t>
      </w:r>
      <w:r>
        <w:rPr>
          <w:color w:val="010202"/>
        </w:rPr>
        <w:t>enquiry</w:t>
      </w:r>
      <w:r>
        <w:rPr>
          <w:color w:val="010202"/>
          <w:spacing w:val="-3"/>
        </w:rPr>
        <w:t xml:space="preserve"> </w:t>
      </w:r>
      <w:r>
        <w:rPr>
          <w:color w:val="010202"/>
        </w:rPr>
        <w:t>line</w:t>
      </w:r>
      <w:r>
        <w:rPr>
          <w:color w:val="010202"/>
          <w:spacing w:val="-3"/>
        </w:rPr>
        <w:t xml:space="preserve"> </w:t>
      </w:r>
      <w:r>
        <w:rPr>
          <w:color w:val="010202"/>
        </w:rPr>
        <w:t>on</w:t>
      </w:r>
      <w:r>
        <w:rPr>
          <w:color w:val="010202"/>
          <w:spacing w:val="-3"/>
        </w:rPr>
        <w:t xml:space="preserve"> </w:t>
      </w:r>
      <w:r>
        <w:rPr>
          <w:color w:val="010202"/>
        </w:rPr>
        <w:t>1300</w:t>
      </w:r>
      <w:r>
        <w:rPr>
          <w:color w:val="010202"/>
          <w:spacing w:val="-3"/>
        </w:rPr>
        <w:t xml:space="preserve"> </w:t>
      </w:r>
      <w:r>
        <w:rPr>
          <w:color w:val="010202"/>
        </w:rPr>
        <w:t>130</w:t>
      </w:r>
      <w:r>
        <w:rPr>
          <w:color w:val="010202"/>
          <w:spacing w:val="-3"/>
        </w:rPr>
        <w:t xml:space="preserve"> </w:t>
      </w:r>
      <w:r>
        <w:rPr>
          <w:color w:val="010202"/>
        </w:rPr>
        <w:t>670</w:t>
      </w:r>
      <w:r>
        <w:rPr>
          <w:color w:val="010202"/>
          <w:spacing w:val="-3"/>
        </w:rPr>
        <w:t xml:space="preserve"> </w:t>
      </w:r>
      <w:r>
        <w:rPr>
          <w:color w:val="010202"/>
        </w:rPr>
        <w:t>before</w:t>
      </w:r>
      <w:r>
        <w:rPr>
          <w:color w:val="010202"/>
          <w:spacing w:val="-3"/>
        </w:rPr>
        <w:t xml:space="preserve"> </w:t>
      </w:r>
      <w:r>
        <w:rPr>
          <w:color w:val="010202"/>
        </w:rPr>
        <w:t>making</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on</w:t>
      </w:r>
      <w:r>
        <w:rPr>
          <w:color w:val="010202"/>
          <w:spacing w:val="-3"/>
        </w:rPr>
        <w:t xml:space="preserve"> </w:t>
      </w:r>
      <w:r>
        <w:rPr>
          <w:color w:val="010202"/>
        </w:rPr>
        <w:t>behalf</w:t>
      </w:r>
      <w:r>
        <w:rPr>
          <w:color w:val="010202"/>
          <w:spacing w:val="-3"/>
        </w:rPr>
        <w:t xml:space="preserve"> </w:t>
      </w:r>
      <w:r>
        <w:rPr>
          <w:color w:val="010202"/>
        </w:rPr>
        <w:t>of</w:t>
      </w:r>
      <w:r>
        <w:rPr>
          <w:color w:val="010202"/>
          <w:spacing w:val="-3"/>
        </w:rPr>
        <w:t xml:space="preserve"> </w:t>
      </w:r>
      <w:r>
        <w:rPr>
          <w:color w:val="010202"/>
        </w:rPr>
        <w:t>someone</w:t>
      </w:r>
      <w:r>
        <w:rPr>
          <w:color w:val="010202"/>
          <w:spacing w:val="-2"/>
        </w:rPr>
        <w:t xml:space="preserve"> </w:t>
      </w:r>
      <w:r>
        <w:rPr>
          <w:color w:val="010202"/>
        </w:rPr>
        <w:t>else</w:t>
      </w:r>
      <w:r>
        <w:rPr>
          <w:color w:val="010202"/>
          <w:spacing w:val="-3"/>
        </w:rPr>
        <w:t xml:space="preserve"> </w:t>
      </w:r>
      <w:r>
        <w:rPr>
          <w:color w:val="010202"/>
        </w:rPr>
        <w:t>to check if it is possible for you to do so.</w:t>
      </w:r>
    </w:p>
    <w:p w14:paraId="7A05E4FB" w14:textId="73B1682B" w:rsidR="004C1D51" w:rsidRPr="00DB2DAB" w:rsidRDefault="004C1D51" w:rsidP="00DB2DAB">
      <w:pPr>
        <w:pStyle w:val="BodyText"/>
        <w:spacing w:before="168" w:line="290" w:lineRule="auto"/>
        <w:ind w:left="113" w:right="668"/>
        <w:jc w:val="both"/>
      </w:pPr>
      <w:r>
        <w:rPr>
          <w:color w:val="010202"/>
        </w:rPr>
        <w:t>Complaints</w:t>
      </w:r>
      <w:r>
        <w:rPr>
          <w:color w:val="010202"/>
          <w:spacing w:val="-3"/>
        </w:rPr>
        <w:t xml:space="preserve"> </w:t>
      </w:r>
      <w:r>
        <w:rPr>
          <w:color w:val="010202"/>
        </w:rPr>
        <w:t>about</w:t>
      </w:r>
      <w:r>
        <w:rPr>
          <w:color w:val="010202"/>
          <w:spacing w:val="-3"/>
        </w:rPr>
        <w:t xml:space="preserve"> </w:t>
      </w:r>
      <w:r>
        <w:rPr>
          <w:color w:val="010202"/>
        </w:rPr>
        <w:t>vilification</w:t>
      </w:r>
      <w:r>
        <w:rPr>
          <w:color w:val="010202"/>
          <w:spacing w:val="-2"/>
        </w:rPr>
        <w:t xml:space="preserve"> </w:t>
      </w:r>
      <w:r>
        <w:rPr>
          <w:color w:val="010202"/>
        </w:rPr>
        <w:t>because</w:t>
      </w:r>
      <w:r>
        <w:rPr>
          <w:color w:val="010202"/>
          <w:spacing w:val="-3"/>
        </w:rPr>
        <w:t xml:space="preserve"> </w:t>
      </w:r>
      <w:r>
        <w:rPr>
          <w:color w:val="010202"/>
        </w:rPr>
        <w:t>of</w:t>
      </w:r>
      <w:r>
        <w:rPr>
          <w:color w:val="010202"/>
          <w:spacing w:val="-3"/>
        </w:rPr>
        <w:t xml:space="preserve"> </w:t>
      </w:r>
      <w:r>
        <w:rPr>
          <w:color w:val="010202"/>
        </w:rPr>
        <w:t>your</w:t>
      </w:r>
      <w:r>
        <w:rPr>
          <w:color w:val="010202"/>
          <w:spacing w:val="-2"/>
        </w:rPr>
        <w:t xml:space="preserve"> </w:t>
      </w:r>
      <w:r>
        <w:rPr>
          <w:color w:val="010202"/>
        </w:rPr>
        <w:t>race,</w:t>
      </w:r>
      <w:r>
        <w:rPr>
          <w:color w:val="010202"/>
          <w:spacing w:val="-2"/>
        </w:rPr>
        <w:t xml:space="preserve"> </w:t>
      </w:r>
      <w:r>
        <w:rPr>
          <w:color w:val="010202"/>
        </w:rPr>
        <w:t>religion,</w:t>
      </w:r>
      <w:r>
        <w:rPr>
          <w:color w:val="010202"/>
          <w:spacing w:val="-2"/>
        </w:rPr>
        <w:t xml:space="preserve"> </w:t>
      </w:r>
      <w:r>
        <w:rPr>
          <w:color w:val="010202"/>
        </w:rPr>
        <w:t>sexuality,</w:t>
      </w:r>
      <w:r>
        <w:rPr>
          <w:color w:val="010202"/>
          <w:spacing w:val="-2"/>
        </w:rPr>
        <w:t xml:space="preserve"> </w:t>
      </w:r>
      <w:r>
        <w:rPr>
          <w:color w:val="010202"/>
        </w:rPr>
        <w:t>or</w:t>
      </w:r>
      <w:r>
        <w:rPr>
          <w:color w:val="010202"/>
          <w:spacing w:val="-3"/>
        </w:rPr>
        <w:t xml:space="preserve"> </w:t>
      </w:r>
      <w:r>
        <w:rPr>
          <w:color w:val="010202"/>
        </w:rPr>
        <w:t>gender</w:t>
      </w:r>
      <w:r>
        <w:rPr>
          <w:color w:val="010202"/>
          <w:spacing w:val="-3"/>
        </w:rPr>
        <w:t xml:space="preserve"> </w:t>
      </w:r>
      <w:r>
        <w:rPr>
          <w:color w:val="010202"/>
        </w:rPr>
        <w:t>identity</w:t>
      </w:r>
      <w:r>
        <w:rPr>
          <w:color w:val="010202"/>
          <w:spacing w:val="-3"/>
        </w:rPr>
        <w:t xml:space="preserve"> </w:t>
      </w:r>
      <w:r>
        <w:rPr>
          <w:color w:val="010202"/>
        </w:rPr>
        <w:t>may</w:t>
      </w:r>
      <w:r>
        <w:rPr>
          <w:color w:val="010202"/>
          <w:spacing w:val="-2"/>
        </w:rPr>
        <w:t xml:space="preserve"> </w:t>
      </w:r>
      <w:r>
        <w:rPr>
          <w:color w:val="010202"/>
        </w:rPr>
        <w:t>be made</w:t>
      </w:r>
      <w:r>
        <w:rPr>
          <w:color w:val="010202"/>
          <w:spacing w:val="-2"/>
        </w:rPr>
        <w:t xml:space="preserve"> </w:t>
      </w:r>
      <w:r>
        <w:rPr>
          <w:color w:val="010202"/>
        </w:rPr>
        <w:t>by</w:t>
      </w:r>
      <w:r>
        <w:rPr>
          <w:color w:val="010202"/>
          <w:spacing w:val="-3"/>
        </w:rPr>
        <w:t xml:space="preserve"> </w:t>
      </w:r>
      <w:r>
        <w:rPr>
          <w:color w:val="010202"/>
        </w:rPr>
        <w:t>a</w:t>
      </w:r>
      <w:r>
        <w:rPr>
          <w:color w:val="010202"/>
          <w:spacing w:val="-3"/>
        </w:rPr>
        <w:t xml:space="preserve"> </w:t>
      </w:r>
      <w:r>
        <w:rPr>
          <w:color w:val="010202"/>
        </w:rPr>
        <w:t>‘relevant</w:t>
      </w:r>
      <w:r>
        <w:rPr>
          <w:color w:val="010202"/>
          <w:spacing w:val="-3"/>
        </w:rPr>
        <w:t xml:space="preserve"> </w:t>
      </w:r>
      <w:r>
        <w:rPr>
          <w:color w:val="010202"/>
        </w:rPr>
        <w:t>entity’.</w:t>
      </w:r>
      <w:r>
        <w:rPr>
          <w:color w:val="010202"/>
          <w:spacing w:val="-6"/>
        </w:rPr>
        <w:t xml:space="preserve"> </w:t>
      </w:r>
      <w:r>
        <w:rPr>
          <w:color w:val="010202"/>
        </w:rPr>
        <w:t>This</w:t>
      </w:r>
      <w:r>
        <w:rPr>
          <w:color w:val="010202"/>
          <w:spacing w:val="-2"/>
        </w:rPr>
        <w:t xml:space="preserve"> </w:t>
      </w:r>
      <w:r>
        <w:rPr>
          <w:color w:val="010202"/>
        </w:rPr>
        <w:t>could</w:t>
      </w:r>
      <w:r>
        <w:rPr>
          <w:color w:val="010202"/>
          <w:spacing w:val="-2"/>
        </w:rPr>
        <w:t xml:space="preserve"> </w:t>
      </w:r>
      <w:r>
        <w:rPr>
          <w:color w:val="010202"/>
        </w:rPr>
        <w:t>be</w:t>
      </w:r>
      <w:r>
        <w:rPr>
          <w:color w:val="010202"/>
          <w:spacing w:val="-3"/>
        </w:rPr>
        <w:t xml:space="preserve"> </w:t>
      </w:r>
      <w:r>
        <w:rPr>
          <w:color w:val="010202"/>
        </w:rPr>
        <w:t>a</w:t>
      </w:r>
      <w:r>
        <w:rPr>
          <w:color w:val="010202"/>
          <w:spacing w:val="-3"/>
        </w:rPr>
        <w:t xml:space="preserve"> </w:t>
      </w:r>
      <w:r>
        <w:rPr>
          <w:color w:val="010202"/>
        </w:rPr>
        <w:t>community</w:t>
      </w:r>
      <w:r>
        <w:rPr>
          <w:color w:val="010202"/>
          <w:spacing w:val="-2"/>
        </w:rPr>
        <w:t xml:space="preserve"> </w:t>
      </w:r>
      <w:r>
        <w:rPr>
          <w:color w:val="010202"/>
        </w:rPr>
        <w:t>group</w:t>
      </w:r>
      <w:r>
        <w:rPr>
          <w:color w:val="010202"/>
          <w:spacing w:val="-3"/>
        </w:rPr>
        <w:t xml:space="preserve"> </w:t>
      </w:r>
      <w:r>
        <w:rPr>
          <w:color w:val="010202"/>
        </w:rPr>
        <w:t>or</w:t>
      </w:r>
      <w:r>
        <w:rPr>
          <w:color w:val="010202"/>
          <w:spacing w:val="-3"/>
        </w:rPr>
        <w:t xml:space="preserve"> </w:t>
      </w:r>
      <w:r>
        <w:rPr>
          <w:color w:val="010202"/>
        </w:rPr>
        <w:t>support</w:t>
      </w:r>
      <w:r>
        <w:rPr>
          <w:color w:val="010202"/>
          <w:spacing w:val="-2"/>
        </w:rPr>
        <w:t xml:space="preserve"> </w:t>
      </w:r>
      <w:proofErr w:type="spellStart"/>
      <w:r>
        <w:rPr>
          <w:color w:val="010202"/>
        </w:rPr>
        <w:t>organisation</w:t>
      </w:r>
      <w:proofErr w:type="spellEnd"/>
      <w:r>
        <w:rPr>
          <w:color w:val="010202"/>
          <w:spacing w:val="-3"/>
        </w:rPr>
        <w:t xml:space="preserve"> </w:t>
      </w:r>
      <w:r>
        <w:rPr>
          <w:color w:val="010202"/>
        </w:rPr>
        <w:t>for</w:t>
      </w:r>
      <w:r>
        <w:rPr>
          <w:color w:val="010202"/>
          <w:spacing w:val="-2"/>
        </w:rPr>
        <w:t xml:space="preserve"> </w:t>
      </w:r>
      <w:r>
        <w:rPr>
          <w:color w:val="010202"/>
        </w:rPr>
        <w:t>people from those communities.</w:t>
      </w:r>
    </w:p>
    <w:p w14:paraId="4F2E5969" w14:textId="77777777" w:rsidR="004C1D51" w:rsidRDefault="004C1D51" w:rsidP="004C1D51">
      <w:pPr>
        <w:pStyle w:val="Heading1"/>
        <w:jc w:val="both"/>
      </w:pPr>
      <w:bookmarkStart w:id="196" w:name="_Toc131144719"/>
      <w:r>
        <w:rPr>
          <w:color w:val="347A9F"/>
        </w:rPr>
        <w:t>Complaints</w:t>
      </w:r>
      <w:r>
        <w:rPr>
          <w:color w:val="347A9F"/>
          <w:spacing w:val="-8"/>
        </w:rPr>
        <w:t xml:space="preserve"> </w:t>
      </w:r>
      <w:r>
        <w:rPr>
          <w:color w:val="347A9F"/>
        </w:rPr>
        <w:t>about</w:t>
      </w:r>
      <w:r>
        <w:rPr>
          <w:color w:val="347A9F"/>
          <w:spacing w:val="-7"/>
        </w:rPr>
        <w:t xml:space="preserve"> </w:t>
      </w:r>
      <w:r>
        <w:rPr>
          <w:color w:val="347A9F"/>
          <w:spacing w:val="-2"/>
        </w:rPr>
        <w:t>discrimination</w:t>
      </w:r>
      <w:bookmarkEnd w:id="196"/>
    </w:p>
    <w:p w14:paraId="4028DE19" w14:textId="77777777" w:rsidR="004C1D51" w:rsidRDefault="004C1D51" w:rsidP="004C1D51">
      <w:pPr>
        <w:pStyle w:val="BodyText"/>
        <w:spacing w:before="186" w:line="290" w:lineRule="auto"/>
        <w:ind w:left="113" w:right="623"/>
        <w:jc w:val="both"/>
      </w:pPr>
      <w:r>
        <w:rPr>
          <w:color w:val="010202"/>
        </w:rPr>
        <w:t>Not</w:t>
      </w:r>
      <w:r>
        <w:rPr>
          <w:color w:val="010202"/>
          <w:spacing w:val="-4"/>
        </w:rPr>
        <w:t xml:space="preserve"> </w:t>
      </w:r>
      <w:r>
        <w:rPr>
          <w:color w:val="010202"/>
        </w:rPr>
        <w:t>all</w:t>
      </w:r>
      <w:r>
        <w:rPr>
          <w:color w:val="010202"/>
          <w:spacing w:val="-4"/>
        </w:rPr>
        <w:t xml:space="preserve"> </w:t>
      </w:r>
      <w:r>
        <w:rPr>
          <w:color w:val="010202"/>
        </w:rPr>
        <w:t>treatment</w:t>
      </w:r>
      <w:r>
        <w:rPr>
          <w:color w:val="010202"/>
          <w:spacing w:val="-3"/>
        </w:rPr>
        <w:t xml:space="preserve"> </w:t>
      </w:r>
      <w:r>
        <w:rPr>
          <w:color w:val="010202"/>
        </w:rPr>
        <w:t>which</w:t>
      </w:r>
      <w:r>
        <w:rPr>
          <w:color w:val="010202"/>
          <w:spacing w:val="-4"/>
        </w:rPr>
        <w:t xml:space="preserve"> </w:t>
      </w:r>
      <w:r>
        <w:rPr>
          <w:color w:val="010202"/>
        </w:rPr>
        <w:t>seems</w:t>
      </w:r>
      <w:r>
        <w:rPr>
          <w:color w:val="010202"/>
          <w:spacing w:val="-3"/>
        </w:rPr>
        <w:t xml:space="preserve"> </w:t>
      </w:r>
      <w:r>
        <w:rPr>
          <w:color w:val="010202"/>
        </w:rPr>
        <w:t>unfair</w:t>
      </w:r>
      <w:r>
        <w:rPr>
          <w:color w:val="010202"/>
          <w:spacing w:val="-4"/>
        </w:rPr>
        <w:t xml:space="preserve"> </w:t>
      </w:r>
      <w:r>
        <w:rPr>
          <w:color w:val="010202"/>
        </w:rPr>
        <w:t>is</w:t>
      </w:r>
      <w:r>
        <w:rPr>
          <w:color w:val="010202"/>
          <w:spacing w:val="-4"/>
        </w:rPr>
        <w:t xml:space="preserve"> </w:t>
      </w:r>
      <w:r>
        <w:rPr>
          <w:color w:val="010202"/>
        </w:rPr>
        <w:t>against</w:t>
      </w:r>
      <w:r>
        <w:rPr>
          <w:color w:val="010202"/>
          <w:spacing w:val="-4"/>
        </w:rPr>
        <w:t xml:space="preserve"> </w:t>
      </w:r>
      <w:r>
        <w:rPr>
          <w:color w:val="010202"/>
        </w:rPr>
        <w:t>the</w:t>
      </w:r>
      <w:r>
        <w:rPr>
          <w:color w:val="010202"/>
          <w:spacing w:val="-3"/>
        </w:rPr>
        <w:t xml:space="preserve"> </w:t>
      </w:r>
      <w:r>
        <w:rPr>
          <w:color w:val="010202"/>
        </w:rPr>
        <w:t>law.</w:t>
      </w:r>
      <w:r>
        <w:rPr>
          <w:color w:val="010202"/>
          <w:spacing w:val="-7"/>
        </w:rPr>
        <w:t xml:space="preserve"> </w:t>
      </w:r>
      <w:r>
        <w:rPr>
          <w:color w:val="010202"/>
        </w:rPr>
        <w:t>The</w:t>
      </w:r>
      <w:r>
        <w:rPr>
          <w:color w:val="010202"/>
          <w:spacing w:val="-3"/>
        </w:rPr>
        <w:t xml:space="preserve"> </w:t>
      </w:r>
      <w:r>
        <w:rPr>
          <w:color w:val="010202"/>
        </w:rPr>
        <w:t>discrimination</w:t>
      </w:r>
      <w:r>
        <w:rPr>
          <w:color w:val="010202"/>
          <w:spacing w:val="-4"/>
        </w:rPr>
        <w:t xml:space="preserve"> </w:t>
      </w:r>
      <w:r>
        <w:rPr>
          <w:color w:val="010202"/>
        </w:rPr>
        <w:t>must</w:t>
      </w:r>
      <w:r>
        <w:rPr>
          <w:color w:val="010202"/>
          <w:spacing w:val="-3"/>
        </w:rPr>
        <w:t xml:space="preserve"> </w:t>
      </w:r>
      <w:r>
        <w:rPr>
          <w:color w:val="010202"/>
        </w:rPr>
        <w:t>have</w:t>
      </w:r>
      <w:r>
        <w:rPr>
          <w:color w:val="010202"/>
          <w:spacing w:val="-4"/>
        </w:rPr>
        <w:t xml:space="preserve"> </w:t>
      </w:r>
      <w:r>
        <w:rPr>
          <w:color w:val="010202"/>
        </w:rPr>
        <w:t>happened because of your:</w:t>
      </w:r>
    </w:p>
    <w:p w14:paraId="7ADD2D76" w14:textId="77777777" w:rsidR="004C1D51" w:rsidRDefault="004C1D51">
      <w:pPr>
        <w:pStyle w:val="ListParagraph"/>
        <w:widowControl w:val="0"/>
        <w:numPr>
          <w:ilvl w:val="0"/>
          <w:numId w:val="53"/>
        </w:numPr>
        <w:tabs>
          <w:tab w:val="left" w:pos="681"/>
        </w:tabs>
        <w:autoSpaceDE w:val="0"/>
        <w:autoSpaceDN w:val="0"/>
        <w:spacing w:before="169" w:after="0" w:line="240" w:lineRule="auto"/>
        <w:contextualSpacing w:val="0"/>
        <w:rPr>
          <w:sz w:val="20"/>
        </w:rPr>
      </w:pPr>
      <w:r>
        <w:rPr>
          <w:color w:val="010202"/>
          <w:spacing w:val="-5"/>
          <w:sz w:val="20"/>
        </w:rPr>
        <w:t>age</w:t>
      </w:r>
    </w:p>
    <w:p w14:paraId="1225F38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5"/>
          <w:sz w:val="20"/>
        </w:rPr>
        <w:t>sex</w:t>
      </w:r>
    </w:p>
    <w:p w14:paraId="54FCCFB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4"/>
          <w:sz w:val="20"/>
        </w:rPr>
        <w:t>race</w:t>
      </w:r>
    </w:p>
    <w:p w14:paraId="01B9B6D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religion</w:t>
      </w:r>
    </w:p>
    <w:p w14:paraId="4CA80649"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sexuality</w:t>
      </w:r>
    </w:p>
    <w:p w14:paraId="6505F07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gender</w:t>
      </w:r>
      <w:r>
        <w:rPr>
          <w:color w:val="010202"/>
          <w:spacing w:val="-8"/>
          <w:sz w:val="20"/>
        </w:rPr>
        <w:t xml:space="preserve"> </w:t>
      </w:r>
      <w:r>
        <w:rPr>
          <w:color w:val="010202"/>
          <w:spacing w:val="-2"/>
          <w:sz w:val="20"/>
        </w:rPr>
        <w:t>identity</w:t>
      </w:r>
    </w:p>
    <w:p w14:paraId="2FE7F7AD"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impairment</w:t>
      </w:r>
    </w:p>
    <w:p w14:paraId="711582E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family </w:t>
      </w:r>
      <w:r>
        <w:rPr>
          <w:color w:val="010202"/>
          <w:spacing w:val="-2"/>
          <w:sz w:val="20"/>
        </w:rPr>
        <w:t>responsibilities</w:t>
      </w:r>
    </w:p>
    <w:p w14:paraId="614B0C8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breastfeeding</w:t>
      </w:r>
    </w:p>
    <w:p w14:paraId="172CEE7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parental</w:t>
      </w:r>
      <w:r>
        <w:rPr>
          <w:color w:val="010202"/>
          <w:spacing w:val="-8"/>
          <w:sz w:val="20"/>
        </w:rPr>
        <w:t xml:space="preserve"> </w:t>
      </w:r>
      <w:r>
        <w:rPr>
          <w:color w:val="010202"/>
          <w:spacing w:val="-2"/>
          <w:sz w:val="20"/>
        </w:rPr>
        <w:t>status</w:t>
      </w:r>
    </w:p>
    <w:p w14:paraId="31C50706"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relationship </w:t>
      </w:r>
      <w:r>
        <w:rPr>
          <w:color w:val="010202"/>
          <w:spacing w:val="-2"/>
          <w:sz w:val="20"/>
        </w:rPr>
        <w:t>status</w:t>
      </w:r>
    </w:p>
    <w:p w14:paraId="6EAB491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pregnancy</w:t>
      </w:r>
    </w:p>
    <w:p w14:paraId="3C1F13D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political</w:t>
      </w:r>
      <w:r>
        <w:rPr>
          <w:color w:val="010202"/>
          <w:spacing w:val="-9"/>
          <w:sz w:val="20"/>
        </w:rPr>
        <w:t xml:space="preserve"> </w:t>
      </w:r>
      <w:r>
        <w:rPr>
          <w:color w:val="010202"/>
          <w:spacing w:val="-2"/>
          <w:sz w:val="20"/>
        </w:rPr>
        <w:t>belief</w:t>
      </w:r>
    </w:p>
    <w:p w14:paraId="0F4963A5"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trade</w:t>
      </w:r>
      <w:r>
        <w:rPr>
          <w:color w:val="010202"/>
          <w:spacing w:val="-3"/>
          <w:sz w:val="20"/>
        </w:rPr>
        <w:t xml:space="preserve"> </w:t>
      </w:r>
      <w:r>
        <w:rPr>
          <w:color w:val="010202"/>
          <w:sz w:val="20"/>
        </w:rPr>
        <w:t>union</w:t>
      </w:r>
      <w:r>
        <w:rPr>
          <w:color w:val="010202"/>
          <w:spacing w:val="-2"/>
          <w:sz w:val="20"/>
        </w:rPr>
        <w:t xml:space="preserve"> activity</w:t>
      </w:r>
    </w:p>
    <w:p w14:paraId="0D80756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lawful</w:t>
      </w:r>
      <w:r>
        <w:rPr>
          <w:color w:val="010202"/>
          <w:spacing w:val="-4"/>
          <w:sz w:val="20"/>
        </w:rPr>
        <w:t xml:space="preserve"> </w:t>
      </w:r>
      <w:r>
        <w:rPr>
          <w:color w:val="010202"/>
          <w:sz w:val="20"/>
        </w:rPr>
        <w:t>sexual</w:t>
      </w:r>
      <w:r>
        <w:rPr>
          <w:color w:val="010202"/>
          <w:spacing w:val="-2"/>
          <w:sz w:val="20"/>
        </w:rPr>
        <w:t xml:space="preserve"> activity</w:t>
      </w:r>
    </w:p>
    <w:p w14:paraId="1425B13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lastRenderedPageBreak/>
        <w:t>association</w:t>
      </w:r>
      <w:r>
        <w:rPr>
          <w:color w:val="010202"/>
          <w:spacing w:val="-5"/>
          <w:sz w:val="20"/>
        </w:rPr>
        <w:t xml:space="preserve"> </w:t>
      </w:r>
      <w:r>
        <w:rPr>
          <w:color w:val="010202"/>
          <w:sz w:val="20"/>
        </w:rPr>
        <w:t>with</w:t>
      </w:r>
      <w:r>
        <w:rPr>
          <w:color w:val="010202"/>
          <w:spacing w:val="-4"/>
          <w:sz w:val="20"/>
        </w:rPr>
        <w:t xml:space="preserve"> </w:t>
      </w:r>
      <w:r>
        <w:rPr>
          <w:color w:val="010202"/>
          <w:sz w:val="20"/>
        </w:rPr>
        <w:t>someone</w:t>
      </w:r>
      <w:r>
        <w:rPr>
          <w:color w:val="010202"/>
          <w:spacing w:val="-3"/>
          <w:sz w:val="20"/>
        </w:rPr>
        <w:t xml:space="preserve"> </w:t>
      </w:r>
      <w:r>
        <w:rPr>
          <w:color w:val="010202"/>
          <w:sz w:val="20"/>
        </w:rPr>
        <w:t>with</w:t>
      </w:r>
      <w:r>
        <w:rPr>
          <w:color w:val="010202"/>
          <w:spacing w:val="-5"/>
          <w:sz w:val="20"/>
        </w:rPr>
        <w:t xml:space="preserve"> </w:t>
      </w:r>
      <w:r>
        <w:rPr>
          <w:color w:val="010202"/>
          <w:sz w:val="20"/>
        </w:rPr>
        <w:t>the</w:t>
      </w:r>
      <w:r>
        <w:rPr>
          <w:color w:val="010202"/>
          <w:spacing w:val="-3"/>
          <w:sz w:val="20"/>
        </w:rPr>
        <w:t xml:space="preserve"> </w:t>
      </w:r>
      <w:r>
        <w:rPr>
          <w:color w:val="010202"/>
          <w:sz w:val="20"/>
        </w:rPr>
        <w:t>above</w:t>
      </w:r>
      <w:r>
        <w:rPr>
          <w:color w:val="010202"/>
          <w:spacing w:val="-4"/>
          <w:sz w:val="20"/>
        </w:rPr>
        <w:t xml:space="preserve"> </w:t>
      </w:r>
      <w:r>
        <w:rPr>
          <w:color w:val="010202"/>
          <w:spacing w:val="-2"/>
          <w:sz w:val="20"/>
        </w:rPr>
        <w:t>characteristics</w:t>
      </w:r>
    </w:p>
    <w:p w14:paraId="050B4912" w14:textId="77777777" w:rsidR="004C1D51" w:rsidRDefault="004C1D51" w:rsidP="004C1D51">
      <w:pPr>
        <w:pStyle w:val="BodyText"/>
        <w:spacing w:before="9"/>
        <w:rPr>
          <w:sz w:val="21"/>
        </w:rPr>
      </w:pPr>
    </w:p>
    <w:p w14:paraId="7A0C4FD0" w14:textId="3994222A" w:rsidR="004C1D51" w:rsidRDefault="004C1D51" w:rsidP="0047630B">
      <w:pPr>
        <w:pStyle w:val="BodyText"/>
        <w:spacing w:line="290" w:lineRule="auto"/>
        <w:ind w:left="113" w:right="380"/>
        <w:sectPr w:rsidR="004C1D51" w:rsidSect="00F55B8A">
          <w:footerReference w:type="default" r:id="rId137"/>
          <w:pgSz w:w="11910" w:h="16840"/>
          <w:pgMar w:top="993" w:right="1680" w:bottom="1276" w:left="1020" w:header="0" w:footer="548" w:gutter="0"/>
          <w:pgNumType w:start="1"/>
          <w:cols w:space="720"/>
        </w:sectPr>
      </w:pPr>
      <w:r>
        <w:rPr>
          <w:color w:val="010202"/>
        </w:rPr>
        <w:t>If</w:t>
      </w:r>
      <w:r>
        <w:rPr>
          <w:color w:val="010202"/>
          <w:spacing w:val="-3"/>
        </w:rPr>
        <w:t xml:space="preserve"> </w:t>
      </w:r>
      <w:r>
        <w:rPr>
          <w:color w:val="010202"/>
        </w:rPr>
        <w:t>the</w:t>
      </w:r>
      <w:r>
        <w:rPr>
          <w:color w:val="010202"/>
          <w:spacing w:val="-2"/>
        </w:rPr>
        <w:t xml:space="preserve"> </w:t>
      </w:r>
      <w:r>
        <w:rPr>
          <w:color w:val="010202"/>
        </w:rPr>
        <w:t>discrimination</w:t>
      </w:r>
      <w:r>
        <w:rPr>
          <w:color w:val="010202"/>
          <w:spacing w:val="-3"/>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because</w:t>
      </w:r>
      <w:r>
        <w:rPr>
          <w:color w:val="010202"/>
          <w:spacing w:val="-3"/>
        </w:rPr>
        <w:t xml:space="preserve"> </w:t>
      </w:r>
      <w:r>
        <w:rPr>
          <w:color w:val="010202"/>
        </w:rPr>
        <w:t>of</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grounds,</w:t>
      </w:r>
      <w:r>
        <w:rPr>
          <w:color w:val="010202"/>
          <w:spacing w:val="-3"/>
        </w:rPr>
        <w:t xml:space="preserve"> </w:t>
      </w:r>
      <w:r>
        <w:rPr>
          <w:color w:val="010202"/>
        </w:rPr>
        <w:t>it</w:t>
      </w:r>
      <w:r>
        <w:rPr>
          <w:color w:val="010202"/>
          <w:spacing w:val="-3"/>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covered</w:t>
      </w:r>
      <w:r>
        <w:rPr>
          <w:color w:val="010202"/>
          <w:spacing w:val="-2"/>
        </w:rPr>
        <w:t xml:space="preserve"> </w:t>
      </w:r>
      <w:r>
        <w:rPr>
          <w:color w:val="010202"/>
        </w:rPr>
        <w:t>by</w:t>
      </w:r>
      <w:r>
        <w:rPr>
          <w:color w:val="010202"/>
          <w:spacing w:val="-3"/>
        </w:rPr>
        <w:t xml:space="preserve"> </w:t>
      </w:r>
      <w:r>
        <w:rPr>
          <w:color w:val="010202"/>
        </w:rPr>
        <w:t>the</w:t>
      </w:r>
      <w:r>
        <w:rPr>
          <w:color w:val="010202"/>
          <w:spacing w:val="-12"/>
        </w:rPr>
        <w:t xml:space="preserve"> </w:t>
      </w:r>
      <w:r>
        <w:rPr>
          <w:color w:val="010202"/>
        </w:rPr>
        <w:t xml:space="preserve">Anti- Discrimination Act, and we can’t accept a complaint about </w:t>
      </w:r>
      <w:proofErr w:type="spellStart"/>
      <w:r>
        <w:rPr>
          <w:color w:val="010202"/>
        </w:rPr>
        <w:t>i</w:t>
      </w:r>
      <w:proofErr w:type="spellEnd"/>
    </w:p>
    <w:p w14:paraId="2B51AF5C" w14:textId="77777777" w:rsidR="004C1D51" w:rsidRDefault="004C1D51" w:rsidP="00DB2DAB">
      <w:pPr>
        <w:pStyle w:val="BodyText"/>
        <w:spacing w:before="94" w:line="290" w:lineRule="auto"/>
        <w:ind w:right="380"/>
      </w:pPr>
      <w:r>
        <w:rPr>
          <w:color w:val="010202"/>
        </w:rPr>
        <w:lastRenderedPageBreak/>
        <w:t>If</w:t>
      </w:r>
      <w:r>
        <w:rPr>
          <w:color w:val="010202"/>
          <w:spacing w:val="-2"/>
        </w:rPr>
        <w:t xml:space="preserve"> </w:t>
      </w:r>
      <w:r>
        <w:rPr>
          <w:color w:val="010202"/>
        </w:rPr>
        <w:t>the</w:t>
      </w:r>
      <w:r>
        <w:rPr>
          <w:color w:val="010202"/>
          <w:spacing w:val="-2"/>
        </w:rPr>
        <w:t xml:space="preserve"> </w:t>
      </w:r>
      <w:r>
        <w:rPr>
          <w:color w:val="010202"/>
        </w:rPr>
        <w:t>discrimination</w:t>
      </w:r>
      <w:r>
        <w:rPr>
          <w:color w:val="010202"/>
          <w:spacing w:val="-3"/>
        </w:rPr>
        <w:t xml:space="preserve"> </w:t>
      </w:r>
      <w:r>
        <w:rPr>
          <w:color w:val="010202"/>
        </w:rPr>
        <w:t>is</w:t>
      </w:r>
      <w:r>
        <w:rPr>
          <w:color w:val="010202"/>
          <w:spacing w:val="-3"/>
        </w:rPr>
        <w:t xml:space="preserve"> </w:t>
      </w:r>
      <w:r>
        <w:rPr>
          <w:color w:val="010202"/>
        </w:rPr>
        <w:t>because</w:t>
      </w:r>
      <w:r>
        <w:rPr>
          <w:color w:val="010202"/>
          <w:spacing w:val="-3"/>
        </w:rPr>
        <w:t xml:space="preserve"> </w:t>
      </w:r>
      <w:r>
        <w:rPr>
          <w:color w:val="010202"/>
        </w:rPr>
        <w:t>of</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grounds,</w:t>
      </w:r>
      <w:r>
        <w:rPr>
          <w:color w:val="010202"/>
          <w:spacing w:val="-3"/>
        </w:rPr>
        <w:t xml:space="preserve"> </w:t>
      </w:r>
      <w:r>
        <w:rPr>
          <w:color w:val="010202"/>
        </w:rPr>
        <w:t>it</w:t>
      </w:r>
      <w:r>
        <w:rPr>
          <w:color w:val="010202"/>
          <w:spacing w:val="-3"/>
        </w:rPr>
        <w:t xml:space="preserve"> </w:t>
      </w:r>
      <w:r>
        <w:rPr>
          <w:color w:val="010202"/>
        </w:rPr>
        <w:t>must</w:t>
      </w:r>
      <w:r>
        <w:rPr>
          <w:color w:val="010202"/>
          <w:spacing w:val="-2"/>
        </w:rPr>
        <w:t xml:space="preserve"> </w:t>
      </w:r>
      <w:r>
        <w:rPr>
          <w:color w:val="010202"/>
        </w:rPr>
        <w:t>have</w:t>
      </w:r>
      <w:r>
        <w:rPr>
          <w:color w:val="010202"/>
          <w:spacing w:val="-3"/>
        </w:rPr>
        <w:t xml:space="preserve"> </w:t>
      </w:r>
      <w:r>
        <w:rPr>
          <w:color w:val="010202"/>
        </w:rPr>
        <w:t>happened</w:t>
      </w:r>
      <w:r>
        <w:rPr>
          <w:color w:val="010202"/>
          <w:spacing w:val="-3"/>
        </w:rPr>
        <w:t xml:space="preserve"> </w:t>
      </w:r>
      <w:r>
        <w:rPr>
          <w:color w:val="010202"/>
        </w:rPr>
        <w:t>in</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 following areas of public life to be covered by the Act:</w:t>
      </w:r>
    </w:p>
    <w:p w14:paraId="77C11FA1" w14:textId="77777777" w:rsidR="004C1D51" w:rsidRDefault="004C1D51">
      <w:pPr>
        <w:pStyle w:val="ListParagraph"/>
        <w:widowControl w:val="0"/>
        <w:numPr>
          <w:ilvl w:val="0"/>
          <w:numId w:val="53"/>
        </w:numPr>
        <w:tabs>
          <w:tab w:val="left" w:pos="681"/>
        </w:tabs>
        <w:autoSpaceDE w:val="0"/>
        <w:autoSpaceDN w:val="0"/>
        <w:spacing w:before="169" w:after="0" w:line="240" w:lineRule="auto"/>
        <w:contextualSpacing w:val="0"/>
        <w:rPr>
          <w:sz w:val="20"/>
        </w:rPr>
      </w:pPr>
      <w:r>
        <w:rPr>
          <w:color w:val="010202"/>
          <w:spacing w:val="-4"/>
          <w:sz w:val="20"/>
        </w:rPr>
        <w:t>work</w:t>
      </w:r>
    </w:p>
    <w:p w14:paraId="46E7611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education</w:t>
      </w:r>
    </w:p>
    <w:p w14:paraId="3583B38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goods</w:t>
      </w:r>
      <w:r>
        <w:rPr>
          <w:color w:val="010202"/>
          <w:spacing w:val="-4"/>
          <w:sz w:val="20"/>
        </w:rPr>
        <w:t xml:space="preserve"> </w:t>
      </w:r>
      <w:r>
        <w:rPr>
          <w:color w:val="010202"/>
          <w:sz w:val="20"/>
        </w:rPr>
        <w:t>and</w:t>
      </w:r>
      <w:r>
        <w:rPr>
          <w:color w:val="010202"/>
          <w:spacing w:val="-4"/>
          <w:sz w:val="20"/>
        </w:rPr>
        <w:t xml:space="preserve"> </w:t>
      </w:r>
      <w:r>
        <w:rPr>
          <w:color w:val="010202"/>
          <w:spacing w:val="-2"/>
          <w:sz w:val="20"/>
        </w:rPr>
        <w:t>services</w:t>
      </w:r>
    </w:p>
    <w:p w14:paraId="188A05AD"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superannuation</w:t>
      </w:r>
      <w:r>
        <w:rPr>
          <w:color w:val="010202"/>
          <w:spacing w:val="-1"/>
          <w:sz w:val="20"/>
        </w:rPr>
        <w:t xml:space="preserve"> </w:t>
      </w:r>
      <w:r>
        <w:rPr>
          <w:color w:val="010202"/>
          <w:sz w:val="20"/>
        </w:rPr>
        <w:t>and</w:t>
      </w:r>
      <w:r>
        <w:rPr>
          <w:color w:val="010202"/>
          <w:spacing w:val="-2"/>
          <w:sz w:val="20"/>
        </w:rPr>
        <w:t xml:space="preserve"> insurance</w:t>
      </w:r>
    </w:p>
    <w:p w14:paraId="02087EF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accommodation</w:t>
      </w:r>
    </w:p>
    <w:p w14:paraId="1AFB774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disposition</w:t>
      </w:r>
      <w:r>
        <w:rPr>
          <w:color w:val="010202"/>
          <w:spacing w:val="-7"/>
          <w:sz w:val="20"/>
        </w:rPr>
        <w:t xml:space="preserve"> </w:t>
      </w:r>
      <w:r>
        <w:rPr>
          <w:color w:val="010202"/>
          <w:sz w:val="20"/>
        </w:rPr>
        <w:t>of</w:t>
      </w:r>
      <w:r>
        <w:rPr>
          <w:color w:val="010202"/>
          <w:spacing w:val="-6"/>
          <w:sz w:val="20"/>
        </w:rPr>
        <w:t xml:space="preserve"> </w:t>
      </w:r>
      <w:r>
        <w:rPr>
          <w:color w:val="010202"/>
          <w:spacing w:val="-4"/>
          <w:sz w:val="20"/>
        </w:rPr>
        <w:t>land</w:t>
      </w:r>
    </w:p>
    <w:p w14:paraId="3C1C1625"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club</w:t>
      </w:r>
      <w:r>
        <w:rPr>
          <w:color w:val="010202"/>
          <w:spacing w:val="-1"/>
          <w:sz w:val="20"/>
        </w:rPr>
        <w:t xml:space="preserve"> </w:t>
      </w:r>
      <w:r>
        <w:rPr>
          <w:color w:val="010202"/>
          <w:sz w:val="20"/>
        </w:rPr>
        <w:t>membership</w:t>
      </w:r>
      <w:r>
        <w:rPr>
          <w:color w:val="010202"/>
          <w:spacing w:val="-1"/>
          <w:sz w:val="20"/>
        </w:rPr>
        <w:t xml:space="preserve"> </w:t>
      </w:r>
      <w:r>
        <w:rPr>
          <w:color w:val="010202"/>
          <w:sz w:val="20"/>
        </w:rPr>
        <w:t>and</w:t>
      </w:r>
      <w:r>
        <w:rPr>
          <w:color w:val="010202"/>
          <w:spacing w:val="-1"/>
          <w:sz w:val="20"/>
        </w:rPr>
        <w:t xml:space="preserve"> </w:t>
      </w:r>
      <w:r>
        <w:rPr>
          <w:color w:val="010202"/>
          <w:spacing w:val="-2"/>
          <w:sz w:val="20"/>
        </w:rPr>
        <w:t>affairs</w:t>
      </w:r>
    </w:p>
    <w:p w14:paraId="1C8A662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administration</w:t>
      </w:r>
      <w:r>
        <w:rPr>
          <w:color w:val="010202"/>
          <w:spacing w:val="-7"/>
          <w:sz w:val="20"/>
        </w:rPr>
        <w:t xml:space="preserve"> </w:t>
      </w:r>
      <w:r>
        <w:rPr>
          <w:color w:val="010202"/>
          <w:sz w:val="20"/>
        </w:rPr>
        <w:t>of</w:t>
      </w:r>
      <w:r>
        <w:rPr>
          <w:color w:val="010202"/>
          <w:spacing w:val="-5"/>
          <w:sz w:val="20"/>
        </w:rPr>
        <w:t xml:space="preserve"> </w:t>
      </w:r>
      <w:r>
        <w:rPr>
          <w:color w:val="010202"/>
          <w:sz w:val="20"/>
        </w:rPr>
        <w:t>state</w:t>
      </w:r>
      <w:r>
        <w:rPr>
          <w:color w:val="010202"/>
          <w:spacing w:val="-4"/>
          <w:sz w:val="20"/>
        </w:rPr>
        <w:t xml:space="preserve"> </w:t>
      </w:r>
      <w:r>
        <w:rPr>
          <w:color w:val="010202"/>
          <w:sz w:val="20"/>
        </w:rPr>
        <w:t>laws</w:t>
      </w:r>
      <w:r>
        <w:rPr>
          <w:color w:val="010202"/>
          <w:spacing w:val="-5"/>
          <w:sz w:val="20"/>
        </w:rPr>
        <w:t xml:space="preserve"> </w:t>
      </w:r>
      <w:r>
        <w:rPr>
          <w:color w:val="010202"/>
          <w:sz w:val="20"/>
        </w:rPr>
        <w:t>and</w:t>
      </w:r>
      <w:r>
        <w:rPr>
          <w:color w:val="010202"/>
          <w:spacing w:val="-4"/>
          <w:sz w:val="20"/>
        </w:rPr>
        <w:t xml:space="preserve"> </w:t>
      </w:r>
      <w:r>
        <w:rPr>
          <w:color w:val="010202"/>
          <w:spacing w:val="-2"/>
          <w:sz w:val="20"/>
        </w:rPr>
        <w:t>programs</w:t>
      </w:r>
    </w:p>
    <w:p w14:paraId="047CCDE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local</w:t>
      </w:r>
      <w:r>
        <w:rPr>
          <w:color w:val="010202"/>
          <w:spacing w:val="-8"/>
          <w:sz w:val="20"/>
        </w:rPr>
        <w:t xml:space="preserve"> </w:t>
      </w:r>
      <w:r>
        <w:rPr>
          <w:color w:val="010202"/>
          <w:sz w:val="20"/>
        </w:rPr>
        <w:t>government,</w:t>
      </w:r>
      <w:r>
        <w:rPr>
          <w:color w:val="010202"/>
          <w:spacing w:val="-8"/>
          <w:sz w:val="20"/>
        </w:rPr>
        <w:t xml:space="preserve"> </w:t>
      </w:r>
      <w:r>
        <w:rPr>
          <w:color w:val="010202"/>
          <w:sz w:val="20"/>
        </w:rPr>
        <w:t>between</w:t>
      </w:r>
      <w:r>
        <w:rPr>
          <w:color w:val="010202"/>
          <w:spacing w:val="-7"/>
          <w:sz w:val="20"/>
        </w:rPr>
        <w:t xml:space="preserve"> </w:t>
      </w:r>
      <w:r>
        <w:rPr>
          <w:color w:val="010202"/>
          <w:spacing w:val="-2"/>
          <w:sz w:val="20"/>
        </w:rPr>
        <w:t>members</w:t>
      </w:r>
    </w:p>
    <w:p w14:paraId="42F46040" w14:textId="77777777" w:rsidR="004C1D51" w:rsidRDefault="004C1D51" w:rsidP="004C1D51">
      <w:pPr>
        <w:pStyle w:val="BodyText"/>
        <w:spacing w:before="8"/>
        <w:rPr>
          <w:sz w:val="21"/>
        </w:rPr>
      </w:pPr>
    </w:p>
    <w:p w14:paraId="341D53B6" w14:textId="77777777" w:rsidR="004C1D51" w:rsidRDefault="004C1D51" w:rsidP="004C1D51">
      <w:pPr>
        <w:pStyle w:val="BodyText"/>
        <w:spacing w:before="1"/>
        <w:ind w:left="113"/>
      </w:pPr>
      <w:r>
        <w:rPr>
          <w:color w:val="010202"/>
        </w:rPr>
        <w:t>If</w:t>
      </w:r>
      <w:r>
        <w:rPr>
          <w:color w:val="010202"/>
          <w:spacing w:val="-3"/>
        </w:rPr>
        <w:t xml:space="preserve"> </w:t>
      </w:r>
      <w:r>
        <w:rPr>
          <w:color w:val="010202"/>
        </w:rPr>
        <w:t>your</w:t>
      </w:r>
      <w:r>
        <w:rPr>
          <w:color w:val="010202"/>
          <w:spacing w:val="-1"/>
        </w:rPr>
        <w:t xml:space="preserve"> </w:t>
      </w:r>
      <w:r>
        <w:rPr>
          <w:color w:val="010202"/>
        </w:rPr>
        <w:t>complaint</w:t>
      </w:r>
      <w:r>
        <w:rPr>
          <w:color w:val="010202"/>
          <w:spacing w:val="-2"/>
        </w:rPr>
        <w:t xml:space="preserve"> </w:t>
      </w:r>
      <w:r>
        <w:rPr>
          <w:color w:val="010202"/>
        </w:rPr>
        <w:t>is</w:t>
      </w:r>
      <w:r>
        <w:rPr>
          <w:color w:val="010202"/>
          <w:spacing w:val="-2"/>
        </w:rPr>
        <w:t xml:space="preserve"> </w:t>
      </w:r>
      <w:r>
        <w:rPr>
          <w:color w:val="010202"/>
        </w:rPr>
        <w:t>about</w:t>
      </w:r>
      <w:r>
        <w:rPr>
          <w:color w:val="010202"/>
          <w:spacing w:val="-3"/>
        </w:rPr>
        <w:t xml:space="preserve"> </w:t>
      </w:r>
      <w:r>
        <w:rPr>
          <w:color w:val="010202"/>
        </w:rPr>
        <w:t>one</w:t>
      </w:r>
      <w:r>
        <w:rPr>
          <w:color w:val="010202"/>
          <w:spacing w:val="-2"/>
        </w:rPr>
        <w:t xml:space="preserve"> </w:t>
      </w:r>
      <w:r>
        <w:rPr>
          <w:color w:val="010202"/>
        </w:rPr>
        <w:t>of</w:t>
      </w:r>
      <w:r>
        <w:rPr>
          <w:color w:val="010202"/>
          <w:spacing w:val="-3"/>
        </w:rPr>
        <w:t xml:space="preserve"> </w:t>
      </w:r>
      <w:r>
        <w:rPr>
          <w:color w:val="010202"/>
        </w:rPr>
        <w:t>these</w:t>
      </w:r>
      <w:r>
        <w:rPr>
          <w:color w:val="010202"/>
          <w:spacing w:val="-1"/>
        </w:rPr>
        <w:t xml:space="preserve"> </w:t>
      </w:r>
      <w:r>
        <w:rPr>
          <w:color w:val="010202"/>
        </w:rPr>
        <w:t>areas,</w:t>
      </w:r>
      <w:r>
        <w:rPr>
          <w:color w:val="010202"/>
          <w:spacing w:val="-2"/>
        </w:rPr>
        <w:t xml:space="preserve"> </w:t>
      </w:r>
      <w:r>
        <w:rPr>
          <w:color w:val="010202"/>
        </w:rPr>
        <w:t>proceed</w:t>
      </w:r>
      <w:r>
        <w:rPr>
          <w:color w:val="010202"/>
          <w:spacing w:val="-3"/>
        </w:rPr>
        <w:t xml:space="preserve"> </w:t>
      </w:r>
      <w:r>
        <w:rPr>
          <w:color w:val="010202"/>
        </w:rPr>
        <w:t>to</w:t>
      </w:r>
      <w:r>
        <w:rPr>
          <w:color w:val="010202"/>
          <w:spacing w:val="-1"/>
        </w:rPr>
        <w:t xml:space="preserve"> </w:t>
      </w:r>
      <w:r>
        <w:rPr>
          <w:color w:val="010202"/>
        </w:rPr>
        <w:t>the</w:t>
      </w:r>
      <w:r>
        <w:rPr>
          <w:color w:val="010202"/>
          <w:spacing w:val="-2"/>
        </w:rPr>
        <w:t xml:space="preserve"> </w:t>
      </w:r>
      <w:r>
        <w:rPr>
          <w:color w:val="010202"/>
        </w:rPr>
        <w:t>form</w:t>
      </w:r>
      <w:r>
        <w:rPr>
          <w:color w:val="010202"/>
          <w:spacing w:val="-1"/>
        </w:rPr>
        <w:t xml:space="preserve"> </w:t>
      </w:r>
      <w:r>
        <w:rPr>
          <w:color w:val="010202"/>
        </w:rPr>
        <w:t>to</w:t>
      </w:r>
      <w:r>
        <w:rPr>
          <w:color w:val="010202"/>
          <w:spacing w:val="-2"/>
        </w:rPr>
        <w:t xml:space="preserve"> </w:t>
      </w:r>
      <w:r>
        <w:rPr>
          <w:color w:val="010202"/>
        </w:rPr>
        <w:t>lodge</w:t>
      </w:r>
      <w:r>
        <w:rPr>
          <w:color w:val="010202"/>
          <w:spacing w:val="-2"/>
        </w:rPr>
        <w:t xml:space="preserve"> </w:t>
      </w:r>
      <w:r>
        <w:rPr>
          <w:color w:val="010202"/>
        </w:rPr>
        <w:t>your</w:t>
      </w:r>
      <w:r>
        <w:rPr>
          <w:color w:val="010202"/>
          <w:spacing w:val="-1"/>
        </w:rPr>
        <w:t xml:space="preserve"> </w:t>
      </w:r>
      <w:r>
        <w:rPr>
          <w:color w:val="010202"/>
          <w:spacing w:val="-2"/>
        </w:rPr>
        <w:t>complaint.</w:t>
      </w:r>
    </w:p>
    <w:p w14:paraId="64214C80" w14:textId="77777777" w:rsidR="004C1D51" w:rsidRDefault="004C1D51" w:rsidP="004C1D51">
      <w:pPr>
        <w:pStyle w:val="BodyText"/>
        <w:spacing w:before="1"/>
        <w:rPr>
          <w:sz w:val="19"/>
        </w:rPr>
      </w:pPr>
    </w:p>
    <w:p w14:paraId="1F7DC026" w14:textId="0A005C10" w:rsidR="004C1D51" w:rsidRPr="0047630B" w:rsidRDefault="004C1D51" w:rsidP="0047630B">
      <w:pPr>
        <w:pStyle w:val="BodyText"/>
        <w:spacing w:line="290" w:lineRule="auto"/>
        <w:ind w:left="113" w:right="380"/>
      </w:pPr>
      <w:r>
        <w:rPr>
          <w:color w:val="010202"/>
        </w:rPr>
        <w:t>If</w:t>
      </w:r>
      <w:r>
        <w:rPr>
          <w:color w:val="010202"/>
          <w:spacing w:val="-2"/>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isn’t</w:t>
      </w:r>
      <w:r>
        <w:rPr>
          <w:color w:val="010202"/>
          <w:spacing w:val="-3"/>
        </w:rPr>
        <w:t xml:space="preserve"> </w:t>
      </w:r>
      <w:r>
        <w:rPr>
          <w:color w:val="010202"/>
        </w:rPr>
        <w:t>related</w:t>
      </w:r>
      <w:r>
        <w:rPr>
          <w:color w:val="010202"/>
          <w:spacing w:val="-2"/>
        </w:rPr>
        <w:t xml:space="preserve"> </w:t>
      </w:r>
      <w:r>
        <w:rPr>
          <w:color w:val="010202"/>
        </w:rPr>
        <w:t>to</w:t>
      </w:r>
      <w:r>
        <w:rPr>
          <w:color w:val="010202"/>
          <w:spacing w:val="-2"/>
        </w:rPr>
        <w:t xml:space="preserve"> </w:t>
      </w:r>
      <w:r>
        <w:rPr>
          <w:color w:val="010202"/>
        </w:rPr>
        <w:t>your</w:t>
      </w:r>
      <w:r>
        <w:rPr>
          <w:color w:val="010202"/>
          <w:spacing w:val="-2"/>
        </w:rPr>
        <w:t xml:space="preserve"> </w:t>
      </w:r>
      <w:r>
        <w:rPr>
          <w:color w:val="010202"/>
        </w:rPr>
        <w:t>treatment</w:t>
      </w:r>
      <w:r>
        <w:rPr>
          <w:color w:val="010202"/>
          <w:spacing w:val="-2"/>
        </w:rPr>
        <w:t xml:space="preserve"> </w:t>
      </w:r>
      <w:r>
        <w:rPr>
          <w:color w:val="010202"/>
        </w:rPr>
        <w:t>in</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areas,</w:t>
      </w:r>
      <w:r>
        <w:rPr>
          <w:color w:val="010202"/>
          <w:spacing w:val="-3"/>
        </w:rPr>
        <w:t xml:space="preserve"> </w:t>
      </w:r>
      <w:r>
        <w:rPr>
          <w:color w:val="010202"/>
        </w:rPr>
        <w:t>it</w:t>
      </w:r>
      <w:r>
        <w:rPr>
          <w:color w:val="010202"/>
          <w:spacing w:val="-3"/>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something</w:t>
      </w:r>
      <w:r>
        <w:rPr>
          <w:color w:val="010202"/>
          <w:spacing w:val="-2"/>
        </w:rPr>
        <w:t xml:space="preserve"> </w:t>
      </w:r>
      <w:r>
        <w:rPr>
          <w:color w:val="010202"/>
        </w:rPr>
        <w:t>we</w:t>
      </w:r>
      <w:r>
        <w:rPr>
          <w:color w:val="010202"/>
          <w:spacing w:val="-3"/>
        </w:rPr>
        <w:t xml:space="preserve"> </w:t>
      </w:r>
      <w:r>
        <w:rPr>
          <w:color w:val="010202"/>
        </w:rPr>
        <w:t>are able to deal with.</w:t>
      </w:r>
    </w:p>
    <w:p w14:paraId="36413577" w14:textId="77777777" w:rsidR="004C1D51" w:rsidRDefault="004C1D51" w:rsidP="004C1D51">
      <w:pPr>
        <w:pStyle w:val="Heading1"/>
      </w:pPr>
      <w:bookmarkStart w:id="197" w:name="_Toc131144720"/>
      <w:r>
        <w:rPr>
          <w:color w:val="347A9F"/>
        </w:rPr>
        <w:t>Complaints</w:t>
      </w:r>
      <w:r>
        <w:rPr>
          <w:color w:val="347A9F"/>
          <w:spacing w:val="-6"/>
        </w:rPr>
        <w:t xml:space="preserve"> </w:t>
      </w:r>
      <w:r>
        <w:rPr>
          <w:color w:val="347A9F"/>
        </w:rPr>
        <w:t>about</w:t>
      </w:r>
      <w:r>
        <w:rPr>
          <w:color w:val="347A9F"/>
          <w:spacing w:val="-5"/>
        </w:rPr>
        <w:t xml:space="preserve"> </w:t>
      </w:r>
      <w:r>
        <w:rPr>
          <w:color w:val="347A9F"/>
        </w:rPr>
        <w:t>sexual</w:t>
      </w:r>
      <w:r>
        <w:rPr>
          <w:color w:val="347A9F"/>
          <w:spacing w:val="-4"/>
        </w:rPr>
        <w:t xml:space="preserve"> </w:t>
      </w:r>
      <w:r>
        <w:rPr>
          <w:color w:val="347A9F"/>
          <w:spacing w:val="-2"/>
        </w:rPr>
        <w:t>harassment</w:t>
      </w:r>
      <w:bookmarkEnd w:id="197"/>
    </w:p>
    <w:p w14:paraId="4BA252CA" w14:textId="71F2C870" w:rsidR="004C1D51" w:rsidRPr="0047630B" w:rsidRDefault="004C1D51" w:rsidP="0047630B">
      <w:pPr>
        <w:pStyle w:val="BodyText"/>
        <w:spacing w:before="186" w:line="290" w:lineRule="auto"/>
        <w:ind w:left="113" w:right="380"/>
      </w:pPr>
      <w:r>
        <w:rPr>
          <w:color w:val="010202"/>
        </w:rPr>
        <w:t>Under</w:t>
      </w:r>
      <w:r>
        <w:rPr>
          <w:color w:val="010202"/>
          <w:spacing w:val="-6"/>
        </w:rPr>
        <w:t xml:space="preserve"> </w:t>
      </w:r>
      <w:r>
        <w:rPr>
          <w:color w:val="010202"/>
        </w:rPr>
        <w:t>Queensland</w:t>
      </w:r>
      <w:r>
        <w:rPr>
          <w:color w:val="010202"/>
          <w:spacing w:val="-5"/>
        </w:rPr>
        <w:t xml:space="preserve"> </w:t>
      </w:r>
      <w:r>
        <w:rPr>
          <w:color w:val="010202"/>
        </w:rPr>
        <w:t>law,</w:t>
      </w:r>
      <w:r>
        <w:rPr>
          <w:color w:val="010202"/>
          <w:spacing w:val="-5"/>
        </w:rPr>
        <w:t xml:space="preserve"> </w:t>
      </w:r>
      <w:r>
        <w:rPr>
          <w:color w:val="010202"/>
        </w:rPr>
        <w:t>sexual</w:t>
      </w:r>
      <w:r>
        <w:rPr>
          <w:color w:val="010202"/>
          <w:spacing w:val="-5"/>
        </w:rPr>
        <w:t xml:space="preserve"> </w:t>
      </w:r>
      <w:r>
        <w:rPr>
          <w:color w:val="010202"/>
        </w:rPr>
        <w:t>harassment</w:t>
      </w:r>
      <w:r>
        <w:rPr>
          <w:color w:val="010202"/>
          <w:spacing w:val="-6"/>
        </w:rPr>
        <w:t xml:space="preserve"> </w:t>
      </w:r>
      <w:r>
        <w:rPr>
          <w:color w:val="010202"/>
        </w:rPr>
        <w:t>is</w:t>
      </w:r>
      <w:r>
        <w:rPr>
          <w:color w:val="010202"/>
          <w:spacing w:val="-6"/>
        </w:rPr>
        <w:t xml:space="preserve"> </w:t>
      </w:r>
      <w:r>
        <w:rPr>
          <w:color w:val="010202"/>
        </w:rPr>
        <w:t>unlawful</w:t>
      </w:r>
      <w:r>
        <w:rPr>
          <w:color w:val="010202"/>
          <w:spacing w:val="-6"/>
        </w:rPr>
        <w:t xml:space="preserve"> </w:t>
      </w:r>
      <w:r>
        <w:rPr>
          <w:color w:val="010202"/>
        </w:rPr>
        <w:t>anywhere</w:t>
      </w:r>
      <w:r>
        <w:rPr>
          <w:color w:val="010202"/>
          <w:spacing w:val="-6"/>
        </w:rPr>
        <w:t xml:space="preserve"> </w:t>
      </w:r>
      <w:r>
        <w:rPr>
          <w:color w:val="010202"/>
        </w:rPr>
        <w:t>it</w:t>
      </w:r>
      <w:r>
        <w:rPr>
          <w:color w:val="010202"/>
          <w:spacing w:val="-6"/>
        </w:rPr>
        <w:t xml:space="preserve"> </w:t>
      </w:r>
      <w:r>
        <w:rPr>
          <w:color w:val="010202"/>
        </w:rPr>
        <w:t>happens.</w:t>
      </w:r>
      <w:r>
        <w:rPr>
          <w:color w:val="010202"/>
          <w:spacing w:val="-9"/>
        </w:rPr>
        <w:t xml:space="preserve"> </w:t>
      </w:r>
      <w:r>
        <w:rPr>
          <w:color w:val="010202"/>
        </w:rPr>
        <w:t>You</w:t>
      </w:r>
      <w:r>
        <w:rPr>
          <w:color w:val="010202"/>
          <w:spacing w:val="-6"/>
        </w:rPr>
        <w:t xml:space="preserve"> </w:t>
      </w:r>
      <w:r>
        <w:rPr>
          <w:color w:val="010202"/>
        </w:rPr>
        <w:t>can</w:t>
      </w:r>
      <w:r>
        <w:rPr>
          <w:color w:val="010202"/>
          <w:spacing w:val="-5"/>
        </w:rPr>
        <w:t xml:space="preserve"> </w:t>
      </w:r>
      <w:r>
        <w:rPr>
          <w:color w:val="010202"/>
        </w:rPr>
        <w:t>make</w:t>
      </w:r>
      <w:r>
        <w:rPr>
          <w:color w:val="010202"/>
          <w:spacing w:val="-5"/>
        </w:rPr>
        <w:t xml:space="preserve"> </w:t>
      </w:r>
      <w:r>
        <w:rPr>
          <w:color w:val="010202"/>
        </w:rPr>
        <w:t>a complaint to us.</w:t>
      </w:r>
    </w:p>
    <w:p w14:paraId="2D4EE1E1" w14:textId="77777777" w:rsidR="004C1D51" w:rsidRDefault="004C1D51" w:rsidP="004C1D51">
      <w:pPr>
        <w:pStyle w:val="Heading1"/>
      </w:pPr>
      <w:bookmarkStart w:id="198" w:name="_Toc131144721"/>
      <w:r>
        <w:rPr>
          <w:color w:val="347A9F"/>
        </w:rPr>
        <w:t>Complaints</w:t>
      </w:r>
      <w:r>
        <w:rPr>
          <w:color w:val="347A9F"/>
          <w:spacing w:val="-7"/>
        </w:rPr>
        <w:t xml:space="preserve"> </w:t>
      </w:r>
      <w:r>
        <w:rPr>
          <w:color w:val="347A9F"/>
        </w:rPr>
        <w:t>about</w:t>
      </w:r>
      <w:r>
        <w:rPr>
          <w:color w:val="347A9F"/>
          <w:spacing w:val="-7"/>
        </w:rPr>
        <w:t xml:space="preserve"> </w:t>
      </w:r>
      <w:r>
        <w:rPr>
          <w:color w:val="347A9F"/>
        </w:rPr>
        <w:t>human</w:t>
      </w:r>
      <w:r>
        <w:rPr>
          <w:color w:val="347A9F"/>
          <w:spacing w:val="-6"/>
        </w:rPr>
        <w:t xml:space="preserve"> </w:t>
      </w:r>
      <w:r>
        <w:rPr>
          <w:color w:val="347A9F"/>
          <w:spacing w:val="-2"/>
        </w:rPr>
        <w:t>rights</w:t>
      </w:r>
      <w:bookmarkEnd w:id="198"/>
    </w:p>
    <w:p w14:paraId="463C4E0E" w14:textId="77777777" w:rsidR="004C1D51" w:rsidRDefault="004C1D51" w:rsidP="004C1D51">
      <w:pPr>
        <w:pStyle w:val="BodyText"/>
        <w:spacing w:before="187" w:line="290" w:lineRule="auto"/>
        <w:ind w:left="113" w:right="380"/>
      </w:pPr>
      <w:r>
        <w:rPr>
          <w:color w:val="010202"/>
        </w:rPr>
        <w:t>If</w:t>
      </w:r>
      <w:r>
        <w:rPr>
          <w:color w:val="010202"/>
          <w:spacing w:val="-3"/>
        </w:rPr>
        <w:t xml:space="preserve"> </w:t>
      </w:r>
      <w:r>
        <w:rPr>
          <w:color w:val="010202"/>
        </w:rPr>
        <w:t>you</w:t>
      </w:r>
      <w:r>
        <w:rPr>
          <w:color w:val="010202"/>
          <w:spacing w:val="-3"/>
        </w:rPr>
        <w:t xml:space="preserve"> </w:t>
      </w:r>
      <w:r>
        <w:rPr>
          <w:color w:val="010202"/>
        </w:rPr>
        <w:t>believe</w:t>
      </w:r>
      <w:r>
        <w:rPr>
          <w:color w:val="010202"/>
          <w:spacing w:val="-4"/>
        </w:rPr>
        <w:t xml:space="preserve"> </w:t>
      </w:r>
      <w:r>
        <w:rPr>
          <w:color w:val="010202"/>
        </w:rPr>
        <w:t>that</w:t>
      </w:r>
      <w:r>
        <w:rPr>
          <w:color w:val="010202"/>
          <w:spacing w:val="-3"/>
        </w:rPr>
        <w:t xml:space="preserve"> </w:t>
      </w:r>
      <w:r>
        <w:rPr>
          <w:color w:val="010202"/>
        </w:rPr>
        <w:t>your</w:t>
      </w:r>
      <w:r>
        <w:rPr>
          <w:color w:val="010202"/>
          <w:spacing w:val="-3"/>
        </w:rPr>
        <w:t xml:space="preserve"> </w:t>
      </w:r>
      <w:r>
        <w:rPr>
          <w:color w:val="010202"/>
        </w:rPr>
        <w:t>human</w:t>
      </w:r>
      <w:r>
        <w:rPr>
          <w:color w:val="010202"/>
          <w:spacing w:val="-4"/>
        </w:rPr>
        <w:t xml:space="preserve"> </w:t>
      </w:r>
      <w:r>
        <w:rPr>
          <w:color w:val="010202"/>
        </w:rPr>
        <w:t>rights</w:t>
      </w:r>
      <w:r>
        <w:rPr>
          <w:color w:val="010202"/>
          <w:spacing w:val="-3"/>
        </w:rPr>
        <w:t xml:space="preserve"> </w:t>
      </w:r>
      <w:r>
        <w:rPr>
          <w:color w:val="010202"/>
        </w:rPr>
        <w:t>have</w:t>
      </w:r>
      <w:r>
        <w:rPr>
          <w:color w:val="010202"/>
          <w:spacing w:val="-4"/>
        </w:rPr>
        <w:t xml:space="preserve"> </w:t>
      </w:r>
      <w:r>
        <w:rPr>
          <w:color w:val="010202"/>
        </w:rPr>
        <w:t>not</w:t>
      </w:r>
      <w:r>
        <w:rPr>
          <w:color w:val="010202"/>
          <w:spacing w:val="-4"/>
        </w:rPr>
        <w:t xml:space="preserve"> </w:t>
      </w:r>
      <w:r>
        <w:rPr>
          <w:color w:val="010202"/>
        </w:rPr>
        <w:t>been</w:t>
      </w:r>
      <w:r>
        <w:rPr>
          <w:color w:val="010202"/>
          <w:spacing w:val="-4"/>
        </w:rPr>
        <w:t xml:space="preserve"> </w:t>
      </w:r>
      <w:r>
        <w:rPr>
          <w:color w:val="010202"/>
        </w:rPr>
        <w:t>given</w:t>
      </w:r>
      <w:r>
        <w:rPr>
          <w:color w:val="010202"/>
          <w:spacing w:val="-4"/>
        </w:rPr>
        <w:t xml:space="preserve"> </w:t>
      </w:r>
      <w:r>
        <w:rPr>
          <w:color w:val="010202"/>
        </w:rPr>
        <w:t>proper</w:t>
      </w:r>
      <w:r>
        <w:rPr>
          <w:color w:val="010202"/>
          <w:spacing w:val="-4"/>
        </w:rPr>
        <w:t xml:space="preserve"> </w:t>
      </w:r>
      <w:r>
        <w:rPr>
          <w:color w:val="010202"/>
        </w:rPr>
        <w:t>consideration</w:t>
      </w:r>
      <w:r>
        <w:rPr>
          <w:color w:val="010202"/>
          <w:spacing w:val="-3"/>
        </w:rPr>
        <w:t xml:space="preserve"> </w:t>
      </w:r>
      <w:r>
        <w:rPr>
          <w:color w:val="010202"/>
        </w:rPr>
        <w:t>by</w:t>
      </w:r>
      <w:r>
        <w:rPr>
          <w:color w:val="010202"/>
          <w:spacing w:val="-4"/>
        </w:rPr>
        <w:t xml:space="preserve"> </w:t>
      </w:r>
      <w:r>
        <w:rPr>
          <w:color w:val="010202"/>
        </w:rPr>
        <w:t>a</w:t>
      </w:r>
      <w:r>
        <w:rPr>
          <w:color w:val="010202"/>
          <w:spacing w:val="-4"/>
        </w:rPr>
        <w:t xml:space="preserve"> </w:t>
      </w:r>
      <w:r>
        <w:rPr>
          <w:color w:val="010202"/>
        </w:rPr>
        <w:t>public</w:t>
      </w:r>
      <w:r>
        <w:rPr>
          <w:color w:val="010202"/>
          <w:spacing w:val="-4"/>
        </w:rPr>
        <w:t xml:space="preserve"> </w:t>
      </w:r>
      <w:r>
        <w:rPr>
          <w:color w:val="010202"/>
        </w:rPr>
        <w:t>entity, you must complain directly to the agency before you can make a complaint to us. Public entities [link to web page] include:</w:t>
      </w:r>
    </w:p>
    <w:p w14:paraId="128B3659" w14:textId="77777777" w:rsidR="004C1D51" w:rsidRDefault="004C1D51">
      <w:pPr>
        <w:pStyle w:val="ListParagraph"/>
        <w:widowControl w:val="0"/>
        <w:numPr>
          <w:ilvl w:val="0"/>
          <w:numId w:val="53"/>
        </w:numPr>
        <w:tabs>
          <w:tab w:val="left" w:pos="681"/>
        </w:tabs>
        <w:autoSpaceDE w:val="0"/>
        <w:autoSpaceDN w:val="0"/>
        <w:spacing w:before="168" w:after="0" w:line="240" w:lineRule="auto"/>
        <w:contextualSpacing w:val="0"/>
        <w:rPr>
          <w:sz w:val="20"/>
        </w:rPr>
      </w:pPr>
      <w:r>
        <w:rPr>
          <w:color w:val="010202"/>
          <w:sz w:val="20"/>
        </w:rPr>
        <w:t>state</w:t>
      </w:r>
      <w:r>
        <w:rPr>
          <w:color w:val="010202"/>
          <w:spacing w:val="-6"/>
          <w:sz w:val="20"/>
        </w:rPr>
        <w:t xml:space="preserve"> </w:t>
      </w:r>
      <w:r>
        <w:rPr>
          <w:color w:val="010202"/>
          <w:sz w:val="20"/>
        </w:rPr>
        <w:t>government</w:t>
      </w:r>
      <w:r>
        <w:rPr>
          <w:color w:val="010202"/>
          <w:spacing w:val="-6"/>
          <w:sz w:val="20"/>
        </w:rPr>
        <w:t xml:space="preserve"> </w:t>
      </w:r>
      <w:r>
        <w:rPr>
          <w:color w:val="010202"/>
          <w:sz w:val="20"/>
        </w:rPr>
        <w:t>departments</w:t>
      </w:r>
      <w:r>
        <w:rPr>
          <w:color w:val="010202"/>
          <w:spacing w:val="-6"/>
          <w:sz w:val="20"/>
        </w:rPr>
        <w:t xml:space="preserve"> </w:t>
      </w:r>
      <w:r>
        <w:rPr>
          <w:color w:val="010202"/>
          <w:sz w:val="20"/>
        </w:rPr>
        <w:t>and</w:t>
      </w:r>
      <w:r>
        <w:rPr>
          <w:color w:val="010202"/>
          <w:spacing w:val="-6"/>
          <w:sz w:val="20"/>
        </w:rPr>
        <w:t xml:space="preserve"> </w:t>
      </w:r>
      <w:r>
        <w:rPr>
          <w:color w:val="010202"/>
          <w:spacing w:val="-2"/>
          <w:sz w:val="20"/>
        </w:rPr>
        <w:t>agencies</w:t>
      </w:r>
    </w:p>
    <w:p w14:paraId="01B09DD9"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public</w:t>
      </w:r>
      <w:r>
        <w:rPr>
          <w:color w:val="010202"/>
          <w:spacing w:val="-4"/>
          <w:sz w:val="20"/>
        </w:rPr>
        <w:t xml:space="preserve"> </w:t>
      </w:r>
      <w:r>
        <w:rPr>
          <w:color w:val="010202"/>
          <w:sz w:val="20"/>
        </w:rPr>
        <w:t>service</w:t>
      </w:r>
      <w:r>
        <w:rPr>
          <w:color w:val="010202"/>
          <w:spacing w:val="-2"/>
          <w:sz w:val="20"/>
        </w:rPr>
        <w:t xml:space="preserve"> employees</w:t>
      </w:r>
    </w:p>
    <w:p w14:paraId="6FA4331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Queensland</w:t>
      </w:r>
      <w:r>
        <w:rPr>
          <w:color w:val="010202"/>
          <w:spacing w:val="-3"/>
          <w:sz w:val="20"/>
        </w:rPr>
        <w:t xml:space="preserve"> </w:t>
      </w:r>
      <w:r>
        <w:rPr>
          <w:color w:val="010202"/>
          <w:sz w:val="20"/>
        </w:rPr>
        <w:t>Police</w:t>
      </w:r>
      <w:r>
        <w:rPr>
          <w:color w:val="010202"/>
          <w:spacing w:val="-2"/>
          <w:sz w:val="20"/>
        </w:rPr>
        <w:t xml:space="preserve"> </w:t>
      </w:r>
      <w:r>
        <w:rPr>
          <w:color w:val="010202"/>
          <w:sz w:val="20"/>
        </w:rPr>
        <w:t>Service</w:t>
      </w:r>
      <w:r>
        <w:rPr>
          <w:color w:val="010202"/>
          <w:spacing w:val="-3"/>
          <w:sz w:val="20"/>
        </w:rPr>
        <w:t xml:space="preserve"> </w:t>
      </w:r>
      <w:r>
        <w:rPr>
          <w:color w:val="010202"/>
          <w:sz w:val="20"/>
        </w:rPr>
        <w:t>and</w:t>
      </w:r>
      <w:r>
        <w:rPr>
          <w:color w:val="010202"/>
          <w:spacing w:val="-3"/>
          <w:sz w:val="20"/>
        </w:rPr>
        <w:t xml:space="preserve"> </w:t>
      </w:r>
      <w:r>
        <w:rPr>
          <w:color w:val="010202"/>
          <w:sz w:val="20"/>
        </w:rPr>
        <w:t>other</w:t>
      </w:r>
      <w:r>
        <w:rPr>
          <w:color w:val="010202"/>
          <w:spacing w:val="-3"/>
          <w:sz w:val="20"/>
        </w:rPr>
        <w:t xml:space="preserve"> </w:t>
      </w:r>
      <w:r>
        <w:rPr>
          <w:color w:val="010202"/>
          <w:sz w:val="20"/>
        </w:rPr>
        <w:t>emergency</w:t>
      </w:r>
      <w:r>
        <w:rPr>
          <w:color w:val="010202"/>
          <w:spacing w:val="-3"/>
          <w:sz w:val="20"/>
        </w:rPr>
        <w:t xml:space="preserve"> </w:t>
      </w:r>
      <w:r>
        <w:rPr>
          <w:color w:val="010202"/>
          <w:spacing w:val="-2"/>
          <w:sz w:val="20"/>
        </w:rPr>
        <w:t>services</w:t>
      </w:r>
    </w:p>
    <w:p w14:paraId="09481DF3"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State Government </w:t>
      </w:r>
      <w:r>
        <w:rPr>
          <w:color w:val="010202"/>
          <w:spacing w:val="-2"/>
          <w:sz w:val="20"/>
        </w:rPr>
        <w:t>Ministers</w:t>
      </w:r>
    </w:p>
    <w:p w14:paraId="2EB1A6C1"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public</w:t>
      </w:r>
      <w:r>
        <w:rPr>
          <w:color w:val="010202"/>
          <w:spacing w:val="-5"/>
          <w:sz w:val="20"/>
        </w:rPr>
        <w:t xml:space="preserve"> </w:t>
      </w:r>
      <w:r>
        <w:rPr>
          <w:color w:val="010202"/>
          <w:spacing w:val="-2"/>
          <w:sz w:val="20"/>
        </w:rPr>
        <w:t>schools</w:t>
      </w:r>
    </w:p>
    <w:p w14:paraId="70570BC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public</w:t>
      </w:r>
      <w:r>
        <w:rPr>
          <w:color w:val="010202"/>
          <w:spacing w:val="-6"/>
          <w:sz w:val="20"/>
        </w:rPr>
        <w:t xml:space="preserve"> </w:t>
      </w:r>
      <w:r>
        <w:rPr>
          <w:color w:val="010202"/>
          <w:sz w:val="20"/>
        </w:rPr>
        <w:t>health</w:t>
      </w:r>
      <w:r>
        <w:rPr>
          <w:color w:val="010202"/>
          <w:spacing w:val="-5"/>
          <w:sz w:val="20"/>
        </w:rPr>
        <w:t xml:space="preserve"> </w:t>
      </w:r>
      <w:r>
        <w:rPr>
          <w:color w:val="010202"/>
          <w:sz w:val="20"/>
        </w:rPr>
        <w:t>services,</w:t>
      </w:r>
      <w:r>
        <w:rPr>
          <w:color w:val="010202"/>
          <w:spacing w:val="-5"/>
          <w:sz w:val="20"/>
        </w:rPr>
        <w:t xml:space="preserve"> </w:t>
      </w:r>
      <w:r>
        <w:rPr>
          <w:color w:val="010202"/>
          <w:sz w:val="20"/>
        </w:rPr>
        <w:t>including</w:t>
      </w:r>
      <w:r>
        <w:rPr>
          <w:color w:val="010202"/>
          <w:spacing w:val="-5"/>
          <w:sz w:val="20"/>
        </w:rPr>
        <w:t xml:space="preserve"> </w:t>
      </w:r>
      <w:r>
        <w:rPr>
          <w:color w:val="010202"/>
          <w:spacing w:val="-2"/>
          <w:sz w:val="20"/>
        </w:rPr>
        <w:t>hospitals</w:t>
      </w:r>
    </w:p>
    <w:p w14:paraId="566BF76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local</w:t>
      </w:r>
      <w:r>
        <w:rPr>
          <w:color w:val="010202"/>
          <w:spacing w:val="-5"/>
          <w:sz w:val="20"/>
        </w:rPr>
        <w:t xml:space="preserve"> </w:t>
      </w:r>
      <w:r>
        <w:rPr>
          <w:color w:val="010202"/>
          <w:sz w:val="20"/>
        </w:rPr>
        <w:t>governments,</w:t>
      </w:r>
      <w:r>
        <w:rPr>
          <w:color w:val="010202"/>
          <w:spacing w:val="-4"/>
          <w:sz w:val="20"/>
        </w:rPr>
        <w:t xml:space="preserve"> </w:t>
      </w:r>
      <w:r>
        <w:rPr>
          <w:color w:val="010202"/>
          <w:sz w:val="20"/>
        </w:rPr>
        <w:t>councillors,</w:t>
      </w:r>
      <w:r>
        <w:rPr>
          <w:color w:val="010202"/>
          <w:spacing w:val="-4"/>
          <w:sz w:val="20"/>
        </w:rPr>
        <w:t xml:space="preserve"> </w:t>
      </w:r>
      <w:r>
        <w:rPr>
          <w:color w:val="010202"/>
          <w:sz w:val="20"/>
        </w:rPr>
        <w:t>and</w:t>
      </w:r>
      <w:r>
        <w:rPr>
          <w:color w:val="010202"/>
          <w:spacing w:val="-4"/>
          <w:sz w:val="20"/>
        </w:rPr>
        <w:t xml:space="preserve"> </w:t>
      </w:r>
      <w:r>
        <w:rPr>
          <w:color w:val="010202"/>
          <w:sz w:val="20"/>
        </w:rPr>
        <w:t>council</w:t>
      </w:r>
      <w:r>
        <w:rPr>
          <w:color w:val="010202"/>
          <w:spacing w:val="-3"/>
          <w:sz w:val="20"/>
        </w:rPr>
        <w:t xml:space="preserve"> </w:t>
      </w:r>
      <w:r>
        <w:rPr>
          <w:color w:val="010202"/>
          <w:spacing w:val="-2"/>
          <w:sz w:val="20"/>
        </w:rPr>
        <w:t>employees</w:t>
      </w:r>
    </w:p>
    <w:p w14:paraId="06FF4573"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organisations</w:t>
      </w:r>
      <w:r>
        <w:rPr>
          <w:color w:val="010202"/>
          <w:spacing w:val="-6"/>
          <w:sz w:val="20"/>
        </w:rPr>
        <w:t xml:space="preserve"> </w:t>
      </w:r>
      <w:r>
        <w:rPr>
          <w:color w:val="010202"/>
          <w:sz w:val="20"/>
        </w:rPr>
        <w:t>providing</w:t>
      </w:r>
      <w:r>
        <w:rPr>
          <w:color w:val="010202"/>
          <w:spacing w:val="-5"/>
          <w:sz w:val="20"/>
        </w:rPr>
        <w:t xml:space="preserve"> </w:t>
      </w:r>
      <w:r>
        <w:rPr>
          <w:color w:val="010202"/>
          <w:sz w:val="20"/>
        </w:rPr>
        <w:t>services</w:t>
      </w:r>
      <w:r>
        <w:rPr>
          <w:color w:val="010202"/>
          <w:spacing w:val="-5"/>
          <w:sz w:val="20"/>
        </w:rPr>
        <w:t xml:space="preserve"> </w:t>
      </w:r>
      <w:r>
        <w:rPr>
          <w:color w:val="010202"/>
          <w:sz w:val="20"/>
        </w:rPr>
        <w:t>of</w:t>
      </w:r>
      <w:r>
        <w:rPr>
          <w:color w:val="010202"/>
          <w:spacing w:val="-5"/>
          <w:sz w:val="20"/>
        </w:rPr>
        <w:t xml:space="preserve"> </w:t>
      </w:r>
      <w:r>
        <w:rPr>
          <w:color w:val="010202"/>
          <w:sz w:val="20"/>
        </w:rPr>
        <w:t>a</w:t>
      </w:r>
      <w:r>
        <w:rPr>
          <w:color w:val="010202"/>
          <w:spacing w:val="-5"/>
          <w:sz w:val="20"/>
        </w:rPr>
        <w:t xml:space="preserve"> </w:t>
      </w:r>
      <w:r>
        <w:rPr>
          <w:color w:val="010202"/>
          <w:sz w:val="20"/>
        </w:rPr>
        <w:t>public</w:t>
      </w:r>
      <w:r>
        <w:rPr>
          <w:color w:val="010202"/>
          <w:spacing w:val="-5"/>
          <w:sz w:val="20"/>
        </w:rPr>
        <w:t xml:space="preserve"> </w:t>
      </w:r>
      <w:r>
        <w:rPr>
          <w:color w:val="010202"/>
          <w:spacing w:val="-2"/>
          <w:sz w:val="20"/>
        </w:rPr>
        <w:t>nature</w:t>
      </w:r>
    </w:p>
    <w:p w14:paraId="0A17F923" w14:textId="77777777" w:rsidR="004C1D51" w:rsidRDefault="004C1D51" w:rsidP="004C1D51">
      <w:pPr>
        <w:pStyle w:val="BodyText"/>
        <w:spacing w:before="9"/>
        <w:rPr>
          <w:sz w:val="21"/>
        </w:rPr>
      </w:pPr>
    </w:p>
    <w:p w14:paraId="54BD7B92" w14:textId="77777777" w:rsidR="004C1D51" w:rsidRDefault="004C1D51" w:rsidP="004C1D51">
      <w:pPr>
        <w:pStyle w:val="BodyText"/>
        <w:ind w:left="113"/>
      </w:pPr>
      <w:r>
        <w:rPr>
          <w:color w:val="010202"/>
        </w:rPr>
        <w:t>The</w:t>
      </w:r>
      <w:r>
        <w:rPr>
          <w:color w:val="010202"/>
          <w:spacing w:val="-4"/>
        </w:rPr>
        <w:t xml:space="preserve"> </w:t>
      </w:r>
      <w:r>
        <w:rPr>
          <w:color w:val="010202"/>
        </w:rPr>
        <w:t>following</w:t>
      </w:r>
      <w:r>
        <w:rPr>
          <w:color w:val="010202"/>
          <w:spacing w:val="-2"/>
        </w:rPr>
        <w:t xml:space="preserve"> </w:t>
      </w:r>
      <w:r>
        <w:rPr>
          <w:color w:val="010202"/>
        </w:rPr>
        <w:t>entities</w:t>
      </w:r>
      <w:r>
        <w:rPr>
          <w:color w:val="010202"/>
          <w:spacing w:val="-3"/>
        </w:rPr>
        <w:t xml:space="preserve"> </w:t>
      </w:r>
      <w:r>
        <w:rPr>
          <w:color w:val="010202"/>
        </w:rPr>
        <w:t>are</w:t>
      </w:r>
      <w:r>
        <w:rPr>
          <w:color w:val="010202"/>
          <w:spacing w:val="-3"/>
        </w:rPr>
        <w:t xml:space="preserve"> </w:t>
      </w:r>
      <w:r>
        <w:rPr>
          <w:color w:val="010202"/>
        </w:rPr>
        <w:t>NOT</w:t>
      </w:r>
      <w:r>
        <w:rPr>
          <w:color w:val="010202"/>
          <w:spacing w:val="-6"/>
        </w:rPr>
        <w:t xml:space="preserve"> </w:t>
      </w:r>
      <w:r>
        <w:rPr>
          <w:color w:val="010202"/>
        </w:rPr>
        <w:t>covered</w:t>
      </w:r>
      <w:r>
        <w:rPr>
          <w:color w:val="010202"/>
          <w:spacing w:val="-2"/>
        </w:rPr>
        <w:t xml:space="preserve"> </w:t>
      </w:r>
      <w:r>
        <w:rPr>
          <w:color w:val="010202"/>
        </w:rPr>
        <w:t>by</w:t>
      </w:r>
      <w:r>
        <w:rPr>
          <w:color w:val="010202"/>
          <w:spacing w:val="-3"/>
        </w:rPr>
        <w:t xml:space="preserve"> </w:t>
      </w:r>
      <w:r>
        <w:rPr>
          <w:color w:val="010202"/>
        </w:rPr>
        <w:t>the</w:t>
      </w:r>
      <w:r>
        <w:rPr>
          <w:color w:val="010202"/>
          <w:spacing w:val="-3"/>
        </w:rPr>
        <w:t xml:space="preserve"> </w:t>
      </w:r>
      <w:r>
        <w:rPr>
          <w:color w:val="010202"/>
        </w:rPr>
        <w:t>Human</w:t>
      </w:r>
      <w:r>
        <w:rPr>
          <w:color w:val="010202"/>
          <w:spacing w:val="-3"/>
        </w:rPr>
        <w:t xml:space="preserve"> </w:t>
      </w:r>
      <w:r>
        <w:rPr>
          <w:color w:val="010202"/>
        </w:rPr>
        <w:t>Rights</w:t>
      </w:r>
      <w:r>
        <w:rPr>
          <w:color w:val="010202"/>
          <w:spacing w:val="-12"/>
        </w:rPr>
        <w:t xml:space="preserve"> </w:t>
      </w:r>
      <w:r>
        <w:rPr>
          <w:color w:val="010202"/>
          <w:spacing w:val="-4"/>
        </w:rPr>
        <w:t>Act:</w:t>
      </w:r>
    </w:p>
    <w:p w14:paraId="043A714D" w14:textId="77777777" w:rsidR="004C1D51" w:rsidRDefault="004C1D51" w:rsidP="004C1D51">
      <w:pPr>
        <w:pStyle w:val="BodyText"/>
        <w:spacing w:before="1"/>
        <w:rPr>
          <w:sz w:val="19"/>
        </w:rPr>
      </w:pPr>
    </w:p>
    <w:p w14:paraId="5119419B"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federal</w:t>
      </w:r>
      <w:r>
        <w:rPr>
          <w:color w:val="010202"/>
          <w:spacing w:val="-6"/>
          <w:sz w:val="20"/>
        </w:rPr>
        <w:t xml:space="preserve"> </w:t>
      </w:r>
      <w:r>
        <w:rPr>
          <w:color w:val="010202"/>
          <w:sz w:val="20"/>
        </w:rPr>
        <w:t>government</w:t>
      </w:r>
      <w:r>
        <w:rPr>
          <w:color w:val="010202"/>
          <w:spacing w:val="-6"/>
          <w:sz w:val="20"/>
        </w:rPr>
        <w:t xml:space="preserve"> </w:t>
      </w:r>
      <w:r>
        <w:rPr>
          <w:color w:val="010202"/>
          <w:sz w:val="20"/>
        </w:rPr>
        <w:t>departments</w:t>
      </w:r>
      <w:r>
        <w:rPr>
          <w:color w:val="010202"/>
          <w:spacing w:val="-6"/>
          <w:sz w:val="20"/>
        </w:rPr>
        <w:t xml:space="preserve"> </w:t>
      </w:r>
      <w:r>
        <w:rPr>
          <w:color w:val="010202"/>
          <w:sz w:val="20"/>
        </w:rPr>
        <w:t>and</w:t>
      </w:r>
      <w:r>
        <w:rPr>
          <w:color w:val="010202"/>
          <w:spacing w:val="-6"/>
          <w:sz w:val="20"/>
        </w:rPr>
        <w:t xml:space="preserve"> </w:t>
      </w:r>
      <w:r>
        <w:rPr>
          <w:color w:val="010202"/>
          <w:spacing w:val="-2"/>
          <w:sz w:val="20"/>
        </w:rPr>
        <w:t>agencies</w:t>
      </w:r>
    </w:p>
    <w:p w14:paraId="50F6BEB5" w14:textId="77777777" w:rsidR="004C1D51" w:rsidRDefault="004C1D51">
      <w:pPr>
        <w:pStyle w:val="ListParagraph"/>
        <w:widowControl w:val="0"/>
        <w:numPr>
          <w:ilvl w:val="0"/>
          <w:numId w:val="53"/>
        </w:numPr>
        <w:tabs>
          <w:tab w:val="left" w:pos="681"/>
        </w:tabs>
        <w:autoSpaceDE w:val="0"/>
        <w:autoSpaceDN w:val="0"/>
        <w:spacing w:before="50" w:after="0" w:line="290" w:lineRule="auto"/>
        <w:ind w:right="320"/>
        <w:contextualSpacing w:val="0"/>
        <w:rPr>
          <w:sz w:val="20"/>
        </w:rPr>
      </w:pPr>
      <w:r>
        <w:rPr>
          <w:color w:val="010202"/>
          <w:sz w:val="20"/>
        </w:rPr>
        <w:t>private</w:t>
      </w:r>
      <w:r>
        <w:rPr>
          <w:color w:val="010202"/>
          <w:spacing w:val="-3"/>
          <w:sz w:val="20"/>
        </w:rPr>
        <w:t xml:space="preserve"> </w:t>
      </w:r>
      <w:r>
        <w:rPr>
          <w:color w:val="010202"/>
          <w:sz w:val="20"/>
        </w:rPr>
        <w:t>businesses</w:t>
      </w:r>
      <w:r>
        <w:rPr>
          <w:color w:val="010202"/>
          <w:spacing w:val="-3"/>
          <w:sz w:val="20"/>
        </w:rPr>
        <w:t xml:space="preserve"> </w:t>
      </w:r>
      <w:r>
        <w:rPr>
          <w:color w:val="010202"/>
          <w:sz w:val="20"/>
        </w:rPr>
        <w:t>(unless</w:t>
      </w:r>
      <w:r>
        <w:rPr>
          <w:color w:val="010202"/>
          <w:spacing w:val="-2"/>
          <w:sz w:val="20"/>
        </w:rPr>
        <w:t xml:space="preserve"> </w:t>
      </w:r>
      <w:r>
        <w:rPr>
          <w:color w:val="010202"/>
          <w:sz w:val="20"/>
        </w:rPr>
        <w:t>they</w:t>
      </w:r>
      <w:r>
        <w:rPr>
          <w:color w:val="010202"/>
          <w:spacing w:val="-2"/>
          <w:sz w:val="20"/>
        </w:rPr>
        <w:t xml:space="preserve"> </w:t>
      </w:r>
      <w:r>
        <w:rPr>
          <w:color w:val="010202"/>
          <w:sz w:val="20"/>
        </w:rPr>
        <w:t>are</w:t>
      </w:r>
      <w:r>
        <w:rPr>
          <w:color w:val="010202"/>
          <w:spacing w:val="-3"/>
          <w:sz w:val="20"/>
        </w:rPr>
        <w:t xml:space="preserve"> </w:t>
      </w:r>
      <w:r>
        <w:rPr>
          <w:color w:val="010202"/>
          <w:sz w:val="20"/>
        </w:rPr>
        <w:t>providing</w:t>
      </w:r>
      <w:r>
        <w:rPr>
          <w:color w:val="010202"/>
          <w:spacing w:val="-3"/>
          <w:sz w:val="20"/>
        </w:rPr>
        <w:t xml:space="preserve"> </w:t>
      </w:r>
      <w:r>
        <w:rPr>
          <w:color w:val="010202"/>
          <w:sz w:val="20"/>
        </w:rPr>
        <w:t>services</w:t>
      </w:r>
      <w:r>
        <w:rPr>
          <w:color w:val="010202"/>
          <w:spacing w:val="-2"/>
          <w:sz w:val="20"/>
        </w:rPr>
        <w:t xml:space="preserve"> </w:t>
      </w:r>
      <w:r>
        <w:rPr>
          <w:color w:val="010202"/>
          <w:sz w:val="20"/>
        </w:rPr>
        <w:t>on</w:t>
      </w:r>
      <w:r>
        <w:rPr>
          <w:color w:val="010202"/>
          <w:spacing w:val="-3"/>
          <w:sz w:val="20"/>
        </w:rPr>
        <w:t xml:space="preserve"> </w:t>
      </w:r>
      <w:r>
        <w:rPr>
          <w:color w:val="010202"/>
          <w:sz w:val="20"/>
        </w:rPr>
        <w:t>behalf</w:t>
      </w:r>
      <w:r>
        <w:rPr>
          <w:color w:val="010202"/>
          <w:spacing w:val="-3"/>
          <w:sz w:val="20"/>
        </w:rPr>
        <w:t xml:space="preserve"> </w:t>
      </w:r>
      <w:r>
        <w:rPr>
          <w:color w:val="010202"/>
          <w:sz w:val="20"/>
        </w:rPr>
        <w:t>of</w:t>
      </w:r>
      <w:r>
        <w:rPr>
          <w:color w:val="010202"/>
          <w:spacing w:val="-3"/>
          <w:sz w:val="20"/>
        </w:rPr>
        <w:t xml:space="preserve"> </w:t>
      </w:r>
      <w:r>
        <w:rPr>
          <w:color w:val="010202"/>
          <w:sz w:val="20"/>
        </w:rPr>
        <w:t>the</w:t>
      </w:r>
      <w:r>
        <w:rPr>
          <w:color w:val="010202"/>
          <w:spacing w:val="-2"/>
          <w:sz w:val="20"/>
        </w:rPr>
        <w:t xml:space="preserve"> </w:t>
      </w:r>
      <w:r>
        <w:rPr>
          <w:color w:val="010202"/>
          <w:sz w:val="20"/>
        </w:rPr>
        <w:t>state</w:t>
      </w:r>
      <w:r>
        <w:rPr>
          <w:color w:val="010202"/>
          <w:spacing w:val="-2"/>
          <w:sz w:val="20"/>
        </w:rPr>
        <w:t xml:space="preserve"> </w:t>
      </w:r>
      <w:r>
        <w:rPr>
          <w:color w:val="010202"/>
          <w:sz w:val="20"/>
        </w:rPr>
        <w:t>–</w:t>
      </w:r>
      <w:r>
        <w:rPr>
          <w:color w:val="010202"/>
          <w:spacing w:val="-3"/>
          <w:sz w:val="20"/>
        </w:rPr>
        <w:t xml:space="preserve"> </w:t>
      </w:r>
      <w:r>
        <w:rPr>
          <w:color w:val="010202"/>
          <w:sz w:val="20"/>
        </w:rPr>
        <w:t>for</w:t>
      </w:r>
      <w:r>
        <w:rPr>
          <w:color w:val="010202"/>
          <w:spacing w:val="-2"/>
          <w:sz w:val="20"/>
        </w:rPr>
        <w:t xml:space="preserve"> </w:t>
      </w:r>
      <w:r>
        <w:rPr>
          <w:color w:val="010202"/>
          <w:sz w:val="20"/>
        </w:rPr>
        <w:t>example,</w:t>
      </w:r>
      <w:r>
        <w:rPr>
          <w:color w:val="010202"/>
          <w:spacing w:val="-3"/>
          <w:sz w:val="20"/>
        </w:rPr>
        <w:t xml:space="preserve"> </w:t>
      </w:r>
      <w:r>
        <w:rPr>
          <w:color w:val="010202"/>
          <w:sz w:val="20"/>
        </w:rPr>
        <w:t>a public housing service)</w:t>
      </w:r>
    </w:p>
    <w:p w14:paraId="24FF1912" w14:textId="77777777" w:rsidR="004C1D51" w:rsidRDefault="004C1D51">
      <w:pPr>
        <w:pStyle w:val="ListParagraph"/>
        <w:widowControl w:val="0"/>
        <w:numPr>
          <w:ilvl w:val="0"/>
          <w:numId w:val="53"/>
        </w:numPr>
        <w:tabs>
          <w:tab w:val="left" w:pos="681"/>
        </w:tabs>
        <w:autoSpaceDE w:val="0"/>
        <w:autoSpaceDN w:val="0"/>
        <w:spacing w:after="0" w:line="229" w:lineRule="exact"/>
        <w:contextualSpacing w:val="0"/>
        <w:rPr>
          <w:sz w:val="20"/>
        </w:rPr>
      </w:pPr>
      <w:r>
        <w:rPr>
          <w:color w:val="010202"/>
          <w:sz w:val="20"/>
        </w:rPr>
        <w:t>decisions</w:t>
      </w:r>
      <w:r>
        <w:rPr>
          <w:color w:val="010202"/>
          <w:spacing w:val="-4"/>
          <w:sz w:val="20"/>
        </w:rPr>
        <w:t xml:space="preserve"> </w:t>
      </w:r>
      <w:r>
        <w:rPr>
          <w:color w:val="010202"/>
          <w:sz w:val="20"/>
        </w:rPr>
        <w:t>by</w:t>
      </w:r>
      <w:r>
        <w:rPr>
          <w:color w:val="010202"/>
          <w:spacing w:val="-4"/>
          <w:sz w:val="20"/>
        </w:rPr>
        <w:t xml:space="preserve"> </w:t>
      </w:r>
      <w:r>
        <w:rPr>
          <w:color w:val="010202"/>
          <w:sz w:val="20"/>
        </w:rPr>
        <w:t>courts</w:t>
      </w:r>
      <w:r>
        <w:rPr>
          <w:color w:val="010202"/>
          <w:spacing w:val="-3"/>
          <w:sz w:val="20"/>
        </w:rPr>
        <w:t xml:space="preserve"> </w:t>
      </w:r>
      <w:r>
        <w:rPr>
          <w:color w:val="010202"/>
          <w:sz w:val="20"/>
        </w:rPr>
        <w:t>and</w:t>
      </w:r>
      <w:r>
        <w:rPr>
          <w:color w:val="010202"/>
          <w:spacing w:val="-3"/>
          <w:sz w:val="20"/>
        </w:rPr>
        <w:t xml:space="preserve"> </w:t>
      </w:r>
      <w:r>
        <w:rPr>
          <w:color w:val="010202"/>
          <w:spacing w:val="-2"/>
          <w:sz w:val="20"/>
        </w:rPr>
        <w:t>judges.</w:t>
      </w:r>
    </w:p>
    <w:p w14:paraId="69718FEB" w14:textId="77777777" w:rsidR="004C1D51" w:rsidRDefault="004C1D51" w:rsidP="004C1D51">
      <w:pPr>
        <w:pStyle w:val="BodyText"/>
        <w:spacing w:before="9"/>
        <w:rPr>
          <w:sz w:val="21"/>
        </w:rPr>
      </w:pPr>
    </w:p>
    <w:p w14:paraId="44AB160B" w14:textId="77777777" w:rsidR="004C1D51" w:rsidRDefault="004C1D51" w:rsidP="004C1D51">
      <w:pPr>
        <w:pStyle w:val="BodyText"/>
        <w:ind w:left="113"/>
      </w:pPr>
      <w:r>
        <w:rPr>
          <w:color w:val="010202"/>
        </w:rPr>
        <w:t>Under</w:t>
      </w:r>
      <w:r>
        <w:rPr>
          <w:color w:val="010202"/>
          <w:spacing w:val="-4"/>
        </w:rPr>
        <w:t xml:space="preserve"> </w:t>
      </w:r>
      <w:r>
        <w:rPr>
          <w:color w:val="010202"/>
        </w:rPr>
        <w:t>Queensland</w:t>
      </w:r>
      <w:r>
        <w:rPr>
          <w:color w:val="010202"/>
          <w:spacing w:val="-3"/>
        </w:rPr>
        <w:t xml:space="preserve"> </w:t>
      </w:r>
      <w:r>
        <w:rPr>
          <w:color w:val="010202"/>
        </w:rPr>
        <w:t>law,</w:t>
      </w:r>
      <w:r>
        <w:rPr>
          <w:color w:val="010202"/>
          <w:spacing w:val="-3"/>
        </w:rPr>
        <w:t xml:space="preserve"> </w:t>
      </w:r>
      <w:r>
        <w:rPr>
          <w:color w:val="010202"/>
        </w:rPr>
        <w:t>specific</w:t>
      </w:r>
      <w:r>
        <w:rPr>
          <w:color w:val="010202"/>
          <w:spacing w:val="-4"/>
        </w:rPr>
        <w:t xml:space="preserve"> </w:t>
      </w:r>
      <w:r>
        <w:rPr>
          <w:color w:val="010202"/>
        </w:rPr>
        <w:t>human</w:t>
      </w:r>
      <w:r>
        <w:rPr>
          <w:color w:val="010202"/>
          <w:spacing w:val="-4"/>
        </w:rPr>
        <w:t xml:space="preserve"> </w:t>
      </w:r>
      <w:r>
        <w:rPr>
          <w:color w:val="010202"/>
        </w:rPr>
        <w:t>rights</w:t>
      </w:r>
      <w:r>
        <w:rPr>
          <w:color w:val="010202"/>
          <w:spacing w:val="-3"/>
        </w:rPr>
        <w:t xml:space="preserve"> </w:t>
      </w:r>
      <w:r>
        <w:rPr>
          <w:color w:val="010202"/>
        </w:rPr>
        <w:t>are</w:t>
      </w:r>
      <w:r>
        <w:rPr>
          <w:color w:val="010202"/>
          <w:spacing w:val="-4"/>
        </w:rPr>
        <w:t xml:space="preserve"> </w:t>
      </w:r>
      <w:r>
        <w:rPr>
          <w:color w:val="010202"/>
          <w:spacing w:val="-2"/>
        </w:rPr>
        <w:t>protected.</w:t>
      </w:r>
    </w:p>
    <w:p w14:paraId="72797E82" w14:textId="77777777" w:rsidR="004C1D51" w:rsidRDefault="004C1D51" w:rsidP="004C1D51">
      <w:pPr>
        <w:pStyle w:val="BodyText"/>
        <w:spacing w:before="1"/>
        <w:rPr>
          <w:sz w:val="19"/>
        </w:rPr>
      </w:pPr>
    </w:p>
    <w:p w14:paraId="5A4310FD" w14:textId="02EF7D01" w:rsidR="004C1D51" w:rsidRPr="00DB2DAB" w:rsidRDefault="004C1D51" w:rsidP="00DB2DAB">
      <w:pPr>
        <w:pStyle w:val="BodyText"/>
        <w:spacing w:before="1"/>
        <w:ind w:left="113"/>
      </w:pPr>
      <w:r>
        <w:rPr>
          <w:color w:val="010202"/>
        </w:rPr>
        <w:t>The</w:t>
      </w:r>
      <w:r>
        <w:rPr>
          <w:color w:val="010202"/>
          <w:spacing w:val="-3"/>
        </w:rPr>
        <w:t xml:space="preserve"> </w:t>
      </w:r>
      <w:r>
        <w:rPr>
          <w:color w:val="010202"/>
        </w:rPr>
        <w:t>rights</w:t>
      </w:r>
      <w:r>
        <w:rPr>
          <w:color w:val="010202"/>
          <w:spacing w:val="-2"/>
        </w:rPr>
        <w:t xml:space="preserve"> </w:t>
      </w:r>
      <w:r>
        <w:rPr>
          <w:color w:val="010202"/>
        </w:rPr>
        <w:t>protected</w:t>
      </w:r>
      <w:r>
        <w:rPr>
          <w:color w:val="010202"/>
          <w:spacing w:val="-3"/>
        </w:rPr>
        <w:t xml:space="preserve"> </w:t>
      </w:r>
      <w:r>
        <w:rPr>
          <w:color w:val="010202"/>
        </w:rPr>
        <w:t>by</w:t>
      </w:r>
      <w:r>
        <w:rPr>
          <w:color w:val="010202"/>
          <w:spacing w:val="-3"/>
        </w:rPr>
        <w:t xml:space="preserve"> </w:t>
      </w:r>
      <w:r>
        <w:rPr>
          <w:color w:val="010202"/>
        </w:rPr>
        <w:t>law</w:t>
      </w:r>
      <w:r>
        <w:rPr>
          <w:color w:val="010202"/>
          <w:spacing w:val="-3"/>
        </w:rPr>
        <w:t xml:space="preserve"> </w:t>
      </w:r>
      <w:r>
        <w:rPr>
          <w:color w:val="010202"/>
          <w:spacing w:val="-4"/>
        </w:rPr>
        <w:t>are:</w:t>
      </w:r>
    </w:p>
    <w:p w14:paraId="59EF9279"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recognition</w:t>
      </w:r>
      <w:r>
        <w:rPr>
          <w:color w:val="010202"/>
          <w:spacing w:val="-5"/>
          <w:sz w:val="20"/>
        </w:rPr>
        <w:t xml:space="preserve"> </w:t>
      </w:r>
      <w:r>
        <w:rPr>
          <w:color w:val="010202"/>
          <w:sz w:val="20"/>
        </w:rPr>
        <w:t>and</w:t>
      </w:r>
      <w:r>
        <w:rPr>
          <w:color w:val="010202"/>
          <w:spacing w:val="-4"/>
          <w:sz w:val="20"/>
        </w:rPr>
        <w:t xml:space="preserve"> </w:t>
      </w:r>
      <w:r>
        <w:rPr>
          <w:color w:val="010202"/>
          <w:sz w:val="20"/>
        </w:rPr>
        <w:t>equality</w:t>
      </w:r>
      <w:r>
        <w:rPr>
          <w:color w:val="010202"/>
          <w:spacing w:val="-4"/>
          <w:sz w:val="20"/>
        </w:rPr>
        <w:t xml:space="preserve"> </w:t>
      </w:r>
      <w:r>
        <w:rPr>
          <w:color w:val="010202"/>
          <w:sz w:val="20"/>
        </w:rPr>
        <w:t>before</w:t>
      </w:r>
      <w:r>
        <w:rPr>
          <w:color w:val="010202"/>
          <w:spacing w:val="-4"/>
          <w:sz w:val="20"/>
        </w:rPr>
        <w:t xml:space="preserve"> </w:t>
      </w:r>
      <w:r>
        <w:rPr>
          <w:color w:val="010202"/>
          <w:sz w:val="20"/>
        </w:rPr>
        <w:t>the</w:t>
      </w:r>
      <w:r>
        <w:rPr>
          <w:color w:val="010202"/>
          <w:spacing w:val="-2"/>
          <w:sz w:val="20"/>
        </w:rPr>
        <w:t xml:space="preserve"> </w:t>
      </w:r>
      <w:r>
        <w:rPr>
          <w:color w:val="010202"/>
          <w:spacing w:val="-5"/>
          <w:sz w:val="20"/>
        </w:rPr>
        <w:t>law</w:t>
      </w:r>
    </w:p>
    <w:p w14:paraId="56D3209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right to </w:t>
      </w:r>
      <w:r>
        <w:rPr>
          <w:color w:val="010202"/>
          <w:spacing w:val="-4"/>
          <w:sz w:val="20"/>
        </w:rPr>
        <w:t>life</w:t>
      </w:r>
    </w:p>
    <w:p w14:paraId="7C97467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protection</w:t>
      </w:r>
      <w:r>
        <w:rPr>
          <w:color w:val="010202"/>
          <w:spacing w:val="-7"/>
          <w:sz w:val="20"/>
        </w:rPr>
        <w:t xml:space="preserve"> </w:t>
      </w:r>
      <w:r>
        <w:rPr>
          <w:color w:val="010202"/>
          <w:sz w:val="20"/>
        </w:rPr>
        <w:t>from</w:t>
      </w:r>
      <w:r>
        <w:rPr>
          <w:color w:val="010202"/>
          <w:spacing w:val="-3"/>
          <w:sz w:val="20"/>
        </w:rPr>
        <w:t xml:space="preserve"> </w:t>
      </w:r>
      <w:r>
        <w:rPr>
          <w:color w:val="010202"/>
          <w:sz w:val="20"/>
        </w:rPr>
        <w:t>torture</w:t>
      </w:r>
      <w:r>
        <w:rPr>
          <w:color w:val="010202"/>
          <w:spacing w:val="-3"/>
          <w:sz w:val="20"/>
        </w:rPr>
        <w:t xml:space="preserve"> </w:t>
      </w:r>
      <w:r>
        <w:rPr>
          <w:color w:val="010202"/>
          <w:sz w:val="20"/>
        </w:rPr>
        <w:t>and</w:t>
      </w:r>
      <w:r>
        <w:rPr>
          <w:color w:val="010202"/>
          <w:spacing w:val="-5"/>
          <w:sz w:val="20"/>
        </w:rPr>
        <w:t xml:space="preserve"> </w:t>
      </w:r>
      <w:r>
        <w:rPr>
          <w:color w:val="010202"/>
          <w:sz w:val="20"/>
        </w:rPr>
        <w:t>cruel,</w:t>
      </w:r>
      <w:r>
        <w:rPr>
          <w:color w:val="010202"/>
          <w:spacing w:val="-3"/>
          <w:sz w:val="20"/>
        </w:rPr>
        <w:t xml:space="preserve"> </w:t>
      </w:r>
      <w:r>
        <w:rPr>
          <w:color w:val="010202"/>
          <w:sz w:val="20"/>
        </w:rPr>
        <w:t>inhuman</w:t>
      </w:r>
      <w:r>
        <w:rPr>
          <w:color w:val="010202"/>
          <w:spacing w:val="-4"/>
          <w:sz w:val="20"/>
        </w:rPr>
        <w:t xml:space="preserve"> </w:t>
      </w:r>
      <w:r>
        <w:rPr>
          <w:color w:val="010202"/>
          <w:sz w:val="20"/>
        </w:rPr>
        <w:t>or</w:t>
      </w:r>
      <w:r>
        <w:rPr>
          <w:color w:val="010202"/>
          <w:spacing w:val="-4"/>
          <w:sz w:val="20"/>
        </w:rPr>
        <w:t xml:space="preserve"> </w:t>
      </w:r>
      <w:r>
        <w:rPr>
          <w:color w:val="010202"/>
          <w:sz w:val="20"/>
        </w:rPr>
        <w:t>degrading</w:t>
      </w:r>
      <w:r>
        <w:rPr>
          <w:color w:val="010202"/>
          <w:spacing w:val="-4"/>
          <w:sz w:val="20"/>
        </w:rPr>
        <w:t xml:space="preserve"> </w:t>
      </w:r>
      <w:r>
        <w:rPr>
          <w:color w:val="010202"/>
          <w:spacing w:val="-2"/>
          <w:sz w:val="20"/>
        </w:rPr>
        <w:t>treatment</w:t>
      </w:r>
    </w:p>
    <w:p w14:paraId="5277CAE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freedom from forced </w:t>
      </w:r>
      <w:r>
        <w:rPr>
          <w:color w:val="010202"/>
          <w:spacing w:val="-4"/>
          <w:sz w:val="20"/>
        </w:rPr>
        <w:t>work</w:t>
      </w:r>
    </w:p>
    <w:p w14:paraId="58AFE14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freedom</w:t>
      </w:r>
      <w:r>
        <w:rPr>
          <w:color w:val="010202"/>
          <w:spacing w:val="-1"/>
          <w:sz w:val="20"/>
        </w:rPr>
        <w:t xml:space="preserve"> </w:t>
      </w:r>
      <w:r>
        <w:rPr>
          <w:color w:val="010202"/>
          <w:sz w:val="20"/>
        </w:rPr>
        <w:t>of</w:t>
      </w:r>
      <w:r>
        <w:rPr>
          <w:color w:val="010202"/>
          <w:spacing w:val="-1"/>
          <w:sz w:val="20"/>
        </w:rPr>
        <w:t xml:space="preserve"> </w:t>
      </w:r>
      <w:r>
        <w:rPr>
          <w:color w:val="010202"/>
          <w:spacing w:val="-2"/>
          <w:sz w:val="20"/>
        </w:rPr>
        <w:t>movement</w:t>
      </w:r>
    </w:p>
    <w:p w14:paraId="6E612C3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freedom</w:t>
      </w:r>
      <w:r>
        <w:rPr>
          <w:color w:val="010202"/>
          <w:spacing w:val="-1"/>
          <w:sz w:val="20"/>
        </w:rPr>
        <w:t xml:space="preserve"> </w:t>
      </w:r>
      <w:r>
        <w:rPr>
          <w:color w:val="010202"/>
          <w:sz w:val="20"/>
        </w:rPr>
        <w:t>of</w:t>
      </w:r>
      <w:r>
        <w:rPr>
          <w:color w:val="010202"/>
          <w:spacing w:val="-1"/>
          <w:sz w:val="20"/>
        </w:rPr>
        <w:t xml:space="preserve"> </w:t>
      </w:r>
      <w:r>
        <w:rPr>
          <w:color w:val="010202"/>
          <w:sz w:val="20"/>
        </w:rPr>
        <w:t>thought,</w:t>
      </w:r>
      <w:r>
        <w:rPr>
          <w:color w:val="010202"/>
          <w:spacing w:val="-1"/>
          <w:sz w:val="20"/>
        </w:rPr>
        <w:t xml:space="preserve"> </w:t>
      </w:r>
      <w:r>
        <w:rPr>
          <w:color w:val="010202"/>
          <w:sz w:val="20"/>
        </w:rPr>
        <w:t>conscience, religion</w:t>
      </w:r>
      <w:r>
        <w:rPr>
          <w:color w:val="010202"/>
          <w:spacing w:val="-1"/>
          <w:sz w:val="20"/>
        </w:rPr>
        <w:t xml:space="preserve"> </w:t>
      </w:r>
      <w:r>
        <w:rPr>
          <w:color w:val="010202"/>
          <w:sz w:val="20"/>
        </w:rPr>
        <w:t>and</w:t>
      </w:r>
      <w:r>
        <w:rPr>
          <w:color w:val="010202"/>
          <w:spacing w:val="-1"/>
          <w:sz w:val="20"/>
        </w:rPr>
        <w:t xml:space="preserve"> </w:t>
      </w:r>
      <w:r>
        <w:rPr>
          <w:color w:val="010202"/>
          <w:spacing w:val="-2"/>
          <w:sz w:val="20"/>
        </w:rPr>
        <w:t>belief</w:t>
      </w:r>
    </w:p>
    <w:p w14:paraId="507160BD" w14:textId="6AC52CA8" w:rsidR="004C1D51" w:rsidRPr="0047630B"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sectPr w:rsidR="004C1D51" w:rsidRPr="0047630B" w:rsidSect="0047630B">
          <w:pgSz w:w="11910" w:h="16840"/>
          <w:pgMar w:top="993" w:right="1680" w:bottom="740" w:left="1020" w:header="0" w:footer="548" w:gutter="0"/>
          <w:cols w:space="720"/>
        </w:sectPr>
      </w:pPr>
      <w:r>
        <w:rPr>
          <w:color w:val="010202"/>
          <w:sz w:val="20"/>
        </w:rPr>
        <w:t>freedom</w:t>
      </w:r>
      <w:r>
        <w:rPr>
          <w:color w:val="010202"/>
          <w:spacing w:val="-1"/>
          <w:sz w:val="20"/>
        </w:rPr>
        <w:t xml:space="preserve"> </w:t>
      </w:r>
      <w:r>
        <w:rPr>
          <w:color w:val="010202"/>
          <w:sz w:val="20"/>
        </w:rPr>
        <w:t>of</w:t>
      </w:r>
      <w:r>
        <w:rPr>
          <w:color w:val="010202"/>
          <w:spacing w:val="-1"/>
          <w:sz w:val="20"/>
        </w:rPr>
        <w:t xml:space="preserve"> </w:t>
      </w:r>
      <w:proofErr w:type="spellStart"/>
      <w:r>
        <w:rPr>
          <w:color w:val="010202"/>
          <w:spacing w:val="-2"/>
          <w:sz w:val="20"/>
        </w:rPr>
        <w:t>expressio</w:t>
      </w:r>
      <w:proofErr w:type="spellEnd"/>
    </w:p>
    <w:p w14:paraId="13806E20" w14:textId="0D3D1D4C" w:rsidR="004C1D51" w:rsidRPr="0047630B" w:rsidRDefault="004C1D51" w:rsidP="0047630B">
      <w:pPr>
        <w:pStyle w:val="BodyText"/>
      </w:pPr>
    </w:p>
    <w:p w14:paraId="410D7819" w14:textId="77777777" w:rsidR="004C1D51" w:rsidRDefault="004C1D51">
      <w:pPr>
        <w:pStyle w:val="ListParagraph"/>
        <w:widowControl w:val="0"/>
        <w:numPr>
          <w:ilvl w:val="0"/>
          <w:numId w:val="53"/>
        </w:numPr>
        <w:tabs>
          <w:tab w:val="left" w:pos="681"/>
        </w:tabs>
        <w:autoSpaceDE w:val="0"/>
        <w:autoSpaceDN w:val="0"/>
        <w:spacing w:before="1" w:after="0" w:line="240" w:lineRule="auto"/>
        <w:contextualSpacing w:val="0"/>
        <w:rPr>
          <w:sz w:val="20"/>
        </w:rPr>
      </w:pPr>
      <w:r>
        <w:rPr>
          <w:color w:val="010202"/>
          <w:sz w:val="20"/>
        </w:rPr>
        <w:t>peaceful</w:t>
      </w:r>
      <w:r>
        <w:rPr>
          <w:color w:val="010202"/>
          <w:spacing w:val="-7"/>
          <w:sz w:val="20"/>
        </w:rPr>
        <w:t xml:space="preserve"> </w:t>
      </w:r>
      <w:r>
        <w:rPr>
          <w:color w:val="010202"/>
          <w:sz w:val="20"/>
        </w:rPr>
        <w:t>assembly</w:t>
      </w:r>
      <w:r>
        <w:rPr>
          <w:color w:val="010202"/>
          <w:spacing w:val="-4"/>
          <w:sz w:val="20"/>
        </w:rPr>
        <w:t xml:space="preserve"> </w:t>
      </w:r>
      <w:r>
        <w:rPr>
          <w:color w:val="010202"/>
          <w:sz w:val="20"/>
        </w:rPr>
        <w:t>and</w:t>
      </w:r>
      <w:r>
        <w:rPr>
          <w:color w:val="010202"/>
          <w:spacing w:val="-5"/>
          <w:sz w:val="20"/>
        </w:rPr>
        <w:t xml:space="preserve"> </w:t>
      </w:r>
      <w:r>
        <w:rPr>
          <w:color w:val="010202"/>
          <w:sz w:val="20"/>
        </w:rPr>
        <w:t>freedom</w:t>
      </w:r>
      <w:r>
        <w:rPr>
          <w:color w:val="010202"/>
          <w:spacing w:val="-3"/>
          <w:sz w:val="20"/>
        </w:rPr>
        <w:t xml:space="preserve"> </w:t>
      </w:r>
      <w:r>
        <w:rPr>
          <w:color w:val="010202"/>
          <w:sz w:val="20"/>
        </w:rPr>
        <w:t>of</w:t>
      </w:r>
      <w:r>
        <w:rPr>
          <w:color w:val="010202"/>
          <w:spacing w:val="-4"/>
          <w:sz w:val="20"/>
        </w:rPr>
        <w:t xml:space="preserve"> </w:t>
      </w:r>
      <w:r>
        <w:rPr>
          <w:color w:val="010202"/>
          <w:spacing w:val="-2"/>
          <w:sz w:val="20"/>
        </w:rPr>
        <w:t>association</w:t>
      </w:r>
    </w:p>
    <w:p w14:paraId="3CC532F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taking</w:t>
      </w:r>
      <w:r>
        <w:rPr>
          <w:color w:val="010202"/>
          <w:spacing w:val="-3"/>
          <w:sz w:val="20"/>
        </w:rPr>
        <w:t xml:space="preserve"> </w:t>
      </w:r>
      <w:r>
        <w:rPr>
          <w:color w:val="010202"/>
          <w:sz w:val="20"/>
        </w:rPr>
        <w:t>part</w:t>
      </w:r>
      <w:r>
        <w:rPr>
          <w:color w:val="010202"/>
          <w:spacing w:val="-3"/>
          <w:sz w:val="20"/>
        </w:rPr>
        <w:t xml:space="preserve"> </w:t>
      </w:r>
      <w:r>
        <w:rPr>
          <w:color w:val="010202"/>
          <w:sz w:val="20"/>
        </w:rPr>
        <w:t>in</w:t>
      </w:r>
      <w:r>
        <w:rPr>
          <w:color w:val="010202"/>
          <w:spacing w:val="-3"/>
          <w:sz w:val="20"/>
        </w:rPr>
        <w:t xml:space="preserve"> </w:t>
      </w:r>
      <w:r>
        <w:rPr>
          <w:color w:val="010202"/>
          <w:sz w:val="20"/>
        </w:rPr>
        <w:t>public</w:t>
      </w:r>
      <w:r>
        <w:rPr>
          <w:color w:val="010202"/>
          <w:spacing w:val="-3"/>
          <w:sz w:val="20"/>
        </w:rPr>
        <w:t xml:space="preserve"> </w:t>
      </w:r>
      <w:r>
        <w:rPr>
          <w:color w:val="010202"/>
          <w:spacing w:val="-4"/>
          <w:sz w:val="20"/>
        </w:rPr>
        <w:t>life</w:t>
      </w:r>
    </w:p>
    <w:p w14:paraId="74403BE9"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property</w:t>
      </w:r>
      <w:r>
        <w:rPr>
          <w:color w:val="010202"/>
          <w:spacing w:val="-8"/>
          <w:sz w:val="20"/>
        </w:rPr>
        <w:t xml:space="preserve"> </w:t>
      </w:r>
      <w:r>
        <w:rPr>
          <w:color w:val="010202"/>
          <w:spacing w:val="-2"/>
          <w:sz w:val="20"/>
        </w:rPr>
        <w:t>rights</w:t>
      </w:r>
    </w:p>
    <w:p w14:paraId="5F475D3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privacy</w:t>
      </w:r>
      <w:r>
        <w:rPr>
          <w:color w:val="010202"/>
          <w:spacing w:val="-5"/>
          <w:sz w:val="20"/>
        </w:rPr>
        <w:t xml:space="preserve"> </w:t>
      </w:r>
      <w:r>
        <w:rPr>
          <w:color w:val="010202"/>
          <w:sz w:val="20"/>
        </w:rPr>
        <w:t>and</w:t>
      </w:r>
      <w:r>
        <w:rPr>
          <w:color w:val="010202"/>
          <w:spacing w:val="-5"/>
          <w:sz w:val="20"/>
        </w:rPr>
        <w:t xml:space="preserve"> </w:t>
      </w:r>
      <w:r>
        <w:rPr>
          <w:color w:val="010202"/>
          <w:spacing w:val="-2"/>
          <w:sz w:val="20"/>
        </w:rPr>
        <w:t>reputation</w:t>
      </w:r>
    </w:p>
    <w:p w14:paraId="4FD005A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protection</w:t>
      </w:r>
      <w:r>
        <w:rPr>
          <w:color w:val="010202"/>
          <w:spacing w:val="-4"/>
          <w:sz w:val="20"/>
        </w:rPr>
        <w:t xml:space="preserve"> </w:t>
      </w:r>
      <w:r>
        <w:rPr>
          <w:color w:val="010202"/>
          <w:sz w:val="20"/>
        </w:rPr>
        <w:t>of</w:t>
      </w:r>
      <w:r>
        <w:rPr>
          <w:color w:val="010202"/>
          <w:spacing w:val="-4"/>
          <w:sz w:val="20"/>
        </w:rPr>
        <w:t xml:space="preserve"> </w:t>
      </w:r>
      <w:r>
        <w:rPr>
          <w:color w:val="010202"/>
          <w:sz w:val="20"/>
        </w:rPr>
        <w:t>families</w:t>
      </w:r>
      <w:r>
        <w:rPr>
          <w:color w:val="010202"/>
          <w:spacing w:val="-4"/>
          <w:sz w:val="20"/>
        </w:rPr>
        <w:t xml:space="preserve"> </w:t>
      </w:r>
      <w:r>
        <w:rPr>
          <w:color w:val="010202"/>
          <w:sz w:val="20"/>
        </w:rPr>
        <w:t>and</w:t>
      </w:r>
      <w:r>
        <w:rPr>
          <w:color w:val="010202"/>
          <w:spacing w:val="-3"/>
          <w:sz w:val="20"/>
        </w:rPr>
        <w:t xml:space="preserve"> </w:t>
      </w:r>
      <w:r>
        <w:rPr>
          <w:color w:val="010202"/>
          <w:spacing w:val="-2"/>
          <w:sz w:val="20"/>
        </w:rPr>
        <w:t>children</w:t>
      </w:r>
    </w:p>
    <w:p w14:paraId="7A76EA54"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cultural rights –</w:t>
      </w:r>
      <w:r>
        <w:rPr>
          <w:color w:val="010202"/>
          <w:spacing w:val="-1"/>
          <w:sz w:val="20"/>
        </w:rPr>
        <w:t xml:space="preserve"> </w:t>
      </w:r>
      <w:r>
        <w:rPr>
          <w:color w:val="010202"/>
          <w:spacing w:val="-2"/>
          <w:sz w:val="20"/>
        </w:rPr>
        <w:t>generally</w:t>
      </w:r>
    </w:p>
    <w:p w14:paraId="3F089DF7"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cultural</w:t>
      </w:r>
      <w:r>
        <w:rPr>
          <w:color w:val="010202"/>
          <w:spacing w:val="-7"/>
          <w:sz w:val="20"/>
        </w:rPr>
        <w:t xml:space="preserve"> </w:t>
      </w:r>
      <w:r>
        <w:rPr>
          <w:color w:val="010202"/>
          <w:sz w:val="20"/>
        </w:rPr>
        <w:t>rights</w:t>
      </w:r>
      <w:r>
        <w:rPr>
          <w:color w:val="010202"/>
          <w:spacing w:val="-4"/>
          <w:sz w:val="20"/>
        </w:rPr>
        <w:t xml:space="preserve"> </w:t>
      </w:r>
      <w:r>
        <w:rPr>
          <w:color w:val="010202"/>
          <w:sz w:val="20"/>
        </w:rPr>
        <w:t>–</w:t>
      </w:r>
      <w:r>
        <w:rPr>
          <w:color w:val="010202"/>
          <w:spacing w:val="-14"/>
          <w:sz w:val="20"/>
        </w:rPr>
        <w:t xml:space="preserve"> </w:t>
      </w:r>
      <w:r>
        <w:rPr>
          <w:color w:val="010202"/>
          <w:sz w:val="20"/>
        </w:rPr>
        <w:t>Aboriginal</w:t>
      </w:r>
      <w:r>
        <w:rPr>
          <w:color w:val="010202"/>
          <w:spacing w:val="-4"/>
          <w:sz w:val="20"/>
        </w:rPr>
        <w:t xml:space="preserve"> </w:t>
      </w:r>
      <w:r>
        <w:rPr>
          <w:color w:val="010202"/>
          <w:sz w:val="20"/>
        </w:rPr>
        <w:t>peoples</w:t>
      </w:r>
      <w:r>
        <w:rPr>
          <w:color w:val="010202"/>
          <w:spacing w:val="-5"/>
          <w:sz w:val="20"/>
        </w:rPr>
        <w:t xml:space="preserve"> </w:t>
      </w:r>
      <w:r>
        <w:rPr>
          <w:color w:val="010202"/>
          <w:sz w:val="20"/>
        </w:rPr>
        <w:t>and</w:t>
      </w:r>
      <w:r>
        <w:rPr>
          <w:color w:val="010202"/>
          <w:spacing w:val="-7"/>
          <w:sz w:val="20"/>
        </w:rPr>
        <w:t xml:space="preserve"> </w:t>
      </w:r>
      <w:r>
        <w:rPr>
          <w:color w:val="010202"/>
          <w:sz w:val="20"/>
        </w:rPr>
        <w:t>Torres</w:t>
      </w:r>
      <w:r>
        <w:rPr>
          <w:color w:val="010202"/>
          <w:spacing w:val="-5"/>
          <w:sz w:val="20"/>
        </w:rPr>
        <w:t xml:space="preserve"> </w:t>
      </w:r>
      <w:r>
        <w:rPr>
          <w:color w:val="010202"/>
          <w:sz w:val="20"/>
        </w:rPr>
        <w:t>Strait</w:t>
      </w:r>
      <w:r>
        <w:rPr>
          <w:color w:val="010202"/>
          <w:spacing w:val="-4"/>
          <w:sz w:val="20"/>
        </w:rPr>
        <w:t xml:space="preserve"> </w:t>
      </w:r>
      <w:r>
        <w:rPr>
          <w:color w:val="010202"/>
          <w:sz w:val="20"/>
        </w:rPr>
        <w:t>Islander</w:t>
      </w:r>
      <w:r>
        <w:rPr>
          <w:color w:val="010202"/>
          <w:spacing w:val="-4"/>
          <w:sz w:val="20"/>
        </w:rPr>
        <w:t xml:space="preserve"> </w:t>
      </w:r>
      <w:r>
        <w:rPr>
          <w:color w:val="010202"/>
          <w:spacing w:val="-2"/>
          <w:sz w:val="20"/>
        </w:rPr>
        <w:t>peoples</w:t>
      </w:r>
    </w:p>
    <w:p w14:paraId="48A0D38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liberty</w:t>
      </w:r>
      <w:r>
        <w:rPr>
          <w:color w:val="010202"/>
          <w:spacing w:val="-4"/>
          <w:sz w:val="20"/>
        </w:rPr>
        <w:t xml:space="preserve"> </w:t>
      </w:r>
      <w:r>
        <w:rPr>
          <w:color w:val="010202"/>
          <w:sz w:val="20"/>
        </w:rPr>
        <w:t>and</w:t>
      </w:r>
      <w:r>
        <w:rPr>
          <w:color w:val="010202"/>
          <w:spacing w:val="-3"/>
          <w:sz w:val="20"/>
        </w:rPr>
        <w:t xml:space="preserve"> </w:t>
      </w:r>
      <w:r>
        <w:rPr>
          <w:color w:val="010202"/>
          <w:sz w:val="20"/>
        </w:rPr>
        <w:t>security</w:t>
      </w:r>
      <w:r>
        <w:rPr>
          <w:color w:val="010202"/>
          <w:spacing w:val="-2"/>
          <w:sz w:val="20"/>
        </w:rPr>
        <w:t xml:space="preserve"> </w:t>
      </w:r>
      <w:r>
        <w:rPr>
          <w:color w:val="010202"/>
          <w:sz w:val="20"/>
        </w:rPr>
        <w:t>of</w:t>
      </w:r>
      <w:r>
        <w:rPr>
          <w:color w:val="010202"/>
          <w:spacing w:val="-3"/>
          <w:sz w:val="20"/>
        </w:rPr>
        <w:t xml:space="preserve"> </w:t>
      </w:r>
      <w:r>
        <w:rPr>
          <w:color w:val="010202"/>
          <w:spacing w:val="-2"/>
          <w:sz w:val="20"/>
        </w:rPr>
        <w:t>person</w:t>
      </w:r>
    </w:p>
    <w:p w14:paraId="5CE0218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humane</w:t>
      </w:r>
      <w:r>
        <w:rPr>
          <w:color w:val="010202"/>
          <w:spacing w:val="-7"/>
          <w:sz w:val="20"/>
        </w:rPr>
        <w:t xml:space="preserve"> </w:t>
      </w:r>
      <w:r>
        <w:rPr>
          <w:color w:val="010202"/>
          <w:sz w:val="20"/>
        </w:rPr>
        <w:t>treatment</w:t>
      </w:r>
      <w:r>
        <w:rPr>
          <w:color w:val="010202"/>
          <w:spacing w:val="-3"/>
          <w:sz w:val="20"/>
        </w:rPr>
        <w:t xml:space="preserve"> </w:t>
      </w:r>
      <w:r>
        <w:rPr>
          <w:color w:val="010202"/>
          <w:sz w:val="20"/>
        </w:rPr>
        <w:t>when</w:t>
      </w:r>
      <w:r>
        <w:rPr>
          <w:color w:val="010202"/>
          <w:spacing w:val="-4"/>
          <w:sz w:val="20"/>
        </w:rPr>
        <w:t xml:space="preserve"> </w:t>
      </w:r>
      <w:r>
        <w:rPr>
          <w:color w:val="010202"/>
          <w:sz w:val="20"/>
        </w:rPr>
        <w:t>deprived</w:t>
      </w:r>
      <w:r>
        <w:rPr>
          <w:color w:val="010202"/>
          <w:spacing w:val="-4"/>
          <w:sz w:val="20"/>
        </w:rPr>
        <w:t xml:space="preserve"> </w:t>
      </w:r>
      <w:r>
        <w:rPr>
          <w:color w:val="010202"/>
          <w:sz w:val="20"/>
        </w:rPr>
        <w:t>of</w:t>
      </w:r>
      <w:r>
        <w:rPr>
          <w:color w:val="010202"/>
          <w:spacing w:val="-4"/>
          <w:sz w:val="20"/>
        </w:rPr>
        <w:t xml:space="preserve"> </w:t>
      </w:r>
      <w:r>
        <w:rPr>
          <w:color w:val="010202"/>
          <w:spacing w:val="-2"/>
          <w:sz w:val="20"/>
        </w:rPr>
        <w:t>liberty</w:t>
      </w:r>
    </w:p>
    <w:p w14:paraId="1D744F4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fair </w:t>
      </w:r>
      <w:r>
        <w:rPr>
          <w:color w:val="010202"/>
          <w:spacing w:val="-2"/>
          <w:sz w:val="20"/>
        </w:rPr>
        <w:t>hearing</w:t>
      </w:r>
    </w:p>
    <w:p w14:paraId="121238F4"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rights</w:t>
      </w:r>
      <w:r>
        <w:rPr>
          <w:color w:val="010202"/>
          <w:spacing w:val="-1"/>
          <w:sz w:val="20"/>
        </w:rPr>
        <w:t xml:space="preserve"> </w:t>
      </w:r>
      <w:r>
        <w:rPr>
          <w:color w:val="010202"/>
          <w:sz w:val="20"/>
        </w:rPr>
        <w:t>in</w:t>
      </w:r>
      <w:r>
        <w:rPr>
          <w:color w:val="010202"/>
          <w:spacing w:val="-1"/>
          <w:sz w:val="20"/>
        </w:rPr>
        <w:t xml:space="preserve"> </w:t>
      </w:r>
      <w:r>
        <w:rPr>
          <w:color w:val="010202"/>
          <w:sz w:val="20"/>
        </w:rPr>
        <w:t xml:space="preserve">criminal </w:t>
      </w:r>
      <w:r>
        <w:rPr>
          <w:color w:val="010202"/>
          <w:spacing w:val="-2"/>
          <w:sz w:val="20"/>
        </w:rPr>
        <w:t>proceedings</w:t>
      </w:r>
    </w:p>
    <w:p w14:paraId="601F9A2B"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rights</w:t>
      </w:r>
      <w:r>
        <w:rPr>
          <w:color w:val="010202"/>
          <w:spacing w:val="-1"/>
          <w:sz w:val="20"/>
        </w:rPr>
        <w:t xml:space="preserve"> </w:t>
      </w:r>
      <w:r>
        <w:rPr>
          <w:color w:val="010202"/>
          <w:sz w:val="20"/>
        </w:rPr>
        <w:t>of</w:t>
      </w:r>
      <w:r>
        <w:rPr>
          <w:color w:val="010202"/>
          <w:spacing w:val="-1"/>
          <w:sz w:val="20"/>
        </w:rPr>
        <w:t xml:space="preserve"> </w:t>
      </w:r>
      <w:r>
        <w:rPr>
          <w:color w:val="010202"/>
          <w:sz w:val="20"/>
        </w:rPr>
        <w:t>children in</w:t>
      </w:r>
      <w:r>
        <w:rPr>
          <w:color w:val="010202"/>
          <w:spacing w:val="-2"/>
          <w:sz w:val="20"/>
        </w:rPr>
        <w:t xml:space="preserve"> </w:t>
      </w:r>
      <w:r>
        <w:rPr>
          <w:color w:val="010202"/>
          <w:sz w:val="20"/>
        </w:rPr>
        <w:t xml:space="preserve">the criminal </w:t>
      </w:r>
      <w:r>
        <w:rPr>
          <w:color w:val="010202"/>
          <w:spacing w:val="-2"/>
          <w:sz w:val="20"/>
        </w:rPr>
        <w:t>process</w:t>
      </w:r>
    </w:p>
    <w:p w14:paraId="376A3FEF"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w:t>
      </w:r>
      <w:r>
        <w:rPr>
          <w:color w:val="010202"/>
          <w:spacing w:val="-2"/>
          <w:sz w:val="20"/>
        </w:rPr>
        <w:t xml:space="preserve"> </w:t>
      </w:r>
      <w:r>
        <w:rPr>
          <w:color w:val="010202"/>
          <w:sz w:val="20"/>
        </w:rPr>
        <w:t>not</w:t>
      </w:r>
      <w:r>
        <w:rPr>
          <w:color w:val="010202"/>
          <w:spacing w:val="-2"/>
          <w:sz w:val="20"/>
        </w:rPr>
        <w:t xml:space="preserve"> </w:t>
      </w:r>
      <w:r>
        <w:rPr>
          <w:color w:val="010202"/>
          <w:sz w:val="20"/>
        </w:rPr>
        <w:t>to</w:t>
      </w:r>
      <w:r>
        <w:rPr>
          <w:color w:val="010202"/>
          <w:spacing w:val="-1"/>
          <w:sz w:val="20"/>
        </w:rPr>
        <w:t xml:space="preserve"> </w:t>
      </w:r>
      <w:r>
        <w:rPr>
          <w:color w:val="010202"/>
          <w:sz w:val="20"/>
        </w:rPr>
        <w:t>be</w:t>
      </w:r>
      <w:r>
        <w:rPr>
          <w:color w:val="010202"/>
          <w:spacing w:val="-2"/>
          <w:sz w:val="20"/>
        </w:rPr>
        <w:t xml:space="preserve"> </w:t>
      </w:r>
      <w:r>
        <w:rPr>
          <w:color w:val="010202"/>
          <w:sz w:val="20"/>
        </w:rPr>
        <w:t>tried</w:t>
      </w:r>
      <w:r>
        <w:rPr>
          <w:color w:val="010202"/>
          <w:spacing w:val="-2"/>
          <w:sz w:val="20"/>
        </w:rPr>
        <w:t xml:space="preserve"> </w:t>
      </w:r>
      <w:r>
        <w:rPr>
          <w:color w:val="010202"/>
          <w:sz w:val="20"/>
        </w:rPr>
        <w:t>or</w:t>
      </w:r>
      <w:r>
        <w:rPr>
          <w:color w:val="010202"/>
          <w:spacing w:val="-2"/>
          <w:sz w:val="20"/>
        </w:rPr>
        <w:t xml:space="preserve"> </w:t>
      </w:r>
      <w:r>
        <w:rPr>
          <w:color w:val="010202"/>
          <w:sz w:val="20"/>
        </w:rPr>
        <w:t>punished</w:t>
      </w:r>
      <w:r>
        <w:rPr>
          <w:color w:val="010202"/>
          <w:spacing w:val="-2"/>
          <w:sz w:val="20"/>
        </w:rPr>
        <w:t xml:space="preserve"> </w:t>
      </w:r>
      <w:r>
        <w:rPr>
          <w:color w:val="010202"/>
          <w:sz w:val="20"/>
        </w:rPr>
        <w:t>more</w:t>
      </w:r>
      <w:r>
        <w:rPr>
          <w:color w:val="010202"/>
          <w:spacing w:val="-1"/>
          <w:sz w:val="20"/>
        </w:rPr>
        <w:t xml:space="preserve"> </w:t>
      </w:r>
      <w:r>
        <w:rPr>
          <w:color w:val="010202"/>
          <w:sz w:val="20"/>
        </w:rPr>
        <w:t>than</w:t>
      </w:r>
      <w:r>
        <w:rPr>
          <w:color w:val="010202"/>
          <w:spacing w:val="-1"/>
          <w:sz w:val="20"/>
        </w:rPr>
        <w:t xml:space="preserve"> </w:t>
      </w:r>
      <w:r>
        <w:rPr>
          <w:color w:val="010202"/>
          <w:spacing w:val="-4"/>
          <w:sz w:val="20"/>
        </w:rPr>
        <w:t>once</w:t>
      </w:r>
    </w:p>
    <w:p w14:paraId="02238546"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retrospective criminal </w:t>
      </w:r>
      <w:r>
        <w:rPr>
          <w:color w:val="010202"/>
          <w:spacing w:val="-4"/>
          <w:sz w:val="20"/>
        </w:rPr>
        <w:t>laws</w:t>
      </w:r>
    </w:p>
    <w:p w14:paraId="27BC92E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 xml:space="preserve">right to </w:t>
      </w:r>
      <w:r>
        <w:rPr>
          <w:color w:val="010202"/>
          <w:spacing w:val="-2"/>
          <w:sz w:val="20"/>
        </w:rPr>
        <w:t>education</w:t>
      </w:r>
    </w:p>
    <w:p w14:paraId="085CF59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right</w:t>
      </w:r>
      <w:r>
        <w:rPr>
          <w:color w:val="010202"/>
          <w:spacing w:val="-2"/>
          <w:sz w:val="20"/>
        </w:rPr>
        <w:t xml:space="preserve"> </w:t>
      </w:r>
      <w:r>
        <w:rPr>
          <w:color w:val="010202"/>
          <w:sz w:val="20"/>
        </w:rPr>
        <w:t>to</w:t>
      </w:r>
      <w:r>
        <w:rPr>
          <w:color w:val="010202"/>
          <w:spacing w:val="-2"/>
          <w:sz w:val="20"/>
        </w:rPr>
        <w:t xml:space="preserve"> </w:t>
      </w:r>
      <w:r>
        <w:rPr>
          <w:color w:val="010202"/>
          <w:sz w:val="20"/>
        </w:rPr>
        <w:t>health</w:t>
      </w:r>
      <w:r>
        <w:rPr>
          <w:color w:val="010202"/>
          <w:spacing w:val="-2"/>
          <w:sz w:val="20"/>
        </w:rPr>
        <w:t xml:space="preserve"> services</w:t>
      </w:r>
    </w:p>
    <w:p w14:paraId="7146D036" w14:textId="77777777" w:rsidR="004C1D51" w:rsidRDefault="004C1D51" w:rsidP="004C1D51">
      <w:pPr>
        <w:pStyle w:val="BodyText"/>
        <w:spacing w:before="8"/>
        <w:rPr>
          <w:sz w:val="21"/>
        </w:rPr>
      </w:pPr>
    </w:p>
    <w:p w14:paraId="44AE9B75" w14:textId="77777777" w:rsidR="004C1D51" w:rsidRDefault="004C1D51" w:rsidP="004C1D51">
      <w:pPr>
        <w:pStyle w:val="BodyText"/>
        <w:spacing w:line="290" w:lineRule="auto"/>
        <w:ind w:left="113" w:right="307"/>
      </w:pPr>
      <w:r>
        <w:rPr>
          <w:color w:val="010202"/>
        </w:rPr>
        <w:t>If your complaint involves one or more of these rights, and is about a public entity, it may be covered</w:t>
      </w:r>
      <w:r>
        <w:rPr>
          <w:color w:val="010202"/>
          <w:spacing w:val="-2"/>
        </w:rPr>
        <w:t xml:space="preserve"> </w:t>
      </w:r>
      <w:r>
        <w:rPr>
          <w:color w:val="010202"/>
        </w:rPr>
        <w:t>by</w:t>
      </w:r>
      <w:r>
        <w:rPr>
          <w:color w:val="010202"/>
          <w:spacing w:val="-3"/>
        </w:rPr>
        <w:t xml:space="preserve"> </w:t>
      </w:r>
      <w:r>
        <w:rPr>
          <w:color w:val="010202"/>
        </w:rPr>
        <w:t>the</w:t>
      </w:r>
      <w:r>
        <w:rPr>
          <w:color w:val="010202"/>
          <w:spacing w:val="-2"/>
        </w:rPr>
        <w:t xml:space="preserve"> </w:t>
      </w:r>
      <w:r>
        <w:rPr>
          <w:color w:val="010202"/>
        </w:rPr>
        <w:t>Human</w:t>
      </w:r>
      <w:r>
        <w:rPr>
          <w:color w:val="010202"/>
          <w:spacing w:val="-3"/>
        </w:rPr>
        <w:t xml:space="preserve"> </w:t>
      </w:r>
      <w:r>
        <w:rPr>
          <w:color w:val="010202"/>
        </w:rPr>
        <w:t>Rights</w:t>
      </w:r>
      <w:r>
        <w:rPr>
          <w:color w:val="010202"/>
          <w:spacing w:val="-13"/>
        </w:rPr>
        <w:t xml:space="preserve"> </w:t>
      </w:r>
      <w:r>
        <w:rPr>
          <w:color w:val="010202"/>
        </w:rPr>
        <w:t>Act</w:t>
      </w:r>
      <w:r>
        <w:rPr>
          <w:color w:val="010202"/>
          <w:spacing w:val="-2"/>
        </w:rPr>
        <w:t xml:space="preserve"> </w:t>
      </w:r>
      <w:r>
        <w:rPr>
          <w:color w:val="010202"/>
        </w:rPr>
        <w:t>and</w:t>
      </w:r>
      <w:r>
        <w:rPr>
          <w:color w:val="010202"/>
          <w:spacing w:val="-3"/>
        </w:rPr>
        <w:t xml:space="preserve"> </w:t>
      </w:r>
      <w:r>
        <w:rPr>
          <w:color w:val="010202"/>
        </w:rPr>
        <w:t>we</w:t>
      </w:r>
      <w:r>
        <w:rPr>
          <w:color w:val="010202"/>
          <w:spacing w:val="-3"/>
        </w:rPr>
        <w:t xml:space="preserve"> </w:t>
      </w:r>
      <w:r>
        <w:rPr>
          <w:color w:val="010202"/>
        </w:rPr>
        <w:t>can</w:t>
      </w:r>
      <w:r>
        <w:rPr>
          <w:color w:val="010202"/>
          <w:spacing w:val="-2"/>
        </w:rPr>
        <w:t xml:space="preserve"> </w:t>
      </w:r>
      <w:r>
        <w:rPr>
          <w:color w:val="010202"/>
        </w:rPr>
        <w:t>deal</w:t>
      </w:r>
      <w:r>
        <w:rPr>
          <w:color w:val="010202"/>
          <w:spacing w:val="-3"/>
        </w:rPr>
        <w:t xml:space="preserve"> </w:t>
      </w:r>
      <w:r>
        <w:rPr>
          <w:color w:val="010202"/>
        </w:rPr>
        <w:t>with</w:t>
      </w:r>
      <w:r>
        <w:rPr>
          <w:color w:val="010202"/>
          <w:spacing w:val="-3"/>
        </w:rPr>
        <w:t xml:space="preserve"> </w:t>
      </w:r>
      <w:r>
        <w:rPr>
          <w:color w:val="010202"/>
        </w:rPr>
        <w:t>it</w:t>
      </w:r>
      <w:r>
        <w:rPr>
          <w:color w:val="010202"/>
          <w:spacing w:val="-3"/>
        </w:rPr>
        <w:t xml:space="preserve"> </w:t>
      </w:r>
      <w:r>
        <w:rPr>
          <w:color w:val="010202"/>
        </w:rPr>
        <w:t>–</w:t>
      </w:r>
      <w:r>
        <w:rPr>
          <w:color w:val="010202"/>
          <w:spacing w:val="-3"/>
        </w:rPr>
        <w:t xml:space="preserve"> </w:t>
      </w:r>
      <w:r>
        <w:rPr>
          <w:color w:val="010202"/>
        </w:rPr>
        <w:t>however,</w:t>
      </w:r>
      <w:r>
        <w:rPr>
          <w:color w:val="010202"/>
          <w:spacing w:val="-2"/>
        </w:rPr>
        <w:t xml:space="preserve"> </w:t>
      </w:r>
      <w:r>
        <w:rPr>
          <w:color w:val="010202"/>
        </w:rPr>
        <w:t>you</w:t>
      </w:r>
      <w:r>
        <w:rPr>
          <w:color w:val="010202"/>
          <w:spacing w:val="-2"/>
        </w:rPr>
        <w:t xml:space="preserve"> </w:t>
      </w:r>
      <w:r>
        <w:rPr>
          <w:color w:val="010202"/>
        </w:rPr>
        <w:t>must</w:t>
      </w:r>
      <w:r>
        <w:rPr>
          <w:color w:val="010202"/>
          <w:spacing w:val="-2"/>
        </w:rPr>
        <w:t xml:space="preserve"> </w:t>
      </w:r>
      <w:r>
        <w:rPr>
          <w:color w:val="010202"/>
        </w:rPr>
        <w:t>make</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to the public entity first.</w:t>
      </w:r>
      <w:r>
        <w:rPr>
          <w:color w:val="010202"/>
          <w:spacing w:val="-1"/>
        </w:rPr>
        <w:t xml:space="preserve"> </w:t>
      </w:r>
      <w:r>
        <w:rPr>
          <w:color w:val="010202"/>
        </w:rPr>
        <w:t>The agency has 45 business days to provide a response.</w:t>
      </w:r>
      <w:r>
        <w:rPr>
          <w:color w:val="010202"/>
          <w:spacing w:val="-1"/>
        </w:rPr>
        <w:t xml:space="preserve"> </w:t>
      </w:r>
      <w:r>
        <w:rPr>
          <w:color w:val="010202"/>
        </w:rPr>
        <w:t>You should make a genuine effort to resolve your complaint with the agency before you lodge a complaint with us.</w:t>
      </w:r>
    </w:p>
    <w:p w14:paraId="798EAA72" w14:textId="77777777" w:rsidR="004C1D51" w:rsidRDefault="004C1D51" w:rsidP="004C1D51">
      <w:pPr>
        <w:pStyle w:val="BodyText"/>
        <w:spacing w:before="8"/>
        <w:rPr>
          <w:sz w:val="19"/>
        </w:rPr>
      </w:pPr>
    </w:p>
    <w:p w14:paraId="712DDA89" w14:textId="77777777" w:rsidR="004C1D51" w:rsidRDefault="004C1D51" w:rsidP="004C1D51">
      <w:pPr>
        <w:pStyle w:val="Heading1"/>
      </w:pPr>
      <w:bookmarkStart w:id="199" w:name="_Toc131144722"/>
      <w:r>
        <w:rPr>
          <w:color w:val="347A9F"/>
        </w:rPr>
        <w:t>Complaints</w:t>
      </w:r>
      <w:r>
        <w:rPr>
          <w:color w:val="347A9F"/>
          <w:spacing w:val="-8"/>
        </w:rPr>
        <w:t xml:space="preserve"> </w:t>
      </w:r>
      <w:r>
        <w:rPr>
          <w:color w:val="347A9F"/>
        </w:rPr>
        <w:t>about</w:t>
      </w:r>
      <w:r>
        <w:rPr>
          <w:color w:val="347A9F"/>
          <w:spacing w:val="-7"/>
        </w:rPr>
        <w:t xml:space="preserve"> </w:t>
      </w:r>
      <w:r>
        <w:rPr>
          <w:color w:val="347A9F"/>
          <w:spacing w:val="-2"/>
        </w:rPr>
        <w:t>vilification</w:t>
      </w:r>
      <w:bookmarkEnd w:id="199"/>
    </w:p>
    <w:p w14:paraId="0725B52E" w14:textId="77777777" w:rsidR="004C1D51" w:rsidRDefault="004C1D51" w:rsidP="004C1D51">
      <w:pPr>
        <w:pStyle w:val="BodyText"/>
        <w:spacing w:before="186"/>
        <w:ind w:left="113"/>
      </w:pPr>
      <w:r>
        <w:rPr>
          <w:color w:val="010202"/>
        </w:rPr>
        <w:t>For</w:t>
      </w:r>
      <w:r>
        <w:rPr>
          <w:color w:val="010202"/>
          <w:spacing w:val="-4"/>
        </w:rPr>
        <w:t xml:space="preserve"> </w:t>
      </w:r>
      <w:r>
        <w:rPr>
          <w:color w:val="010202"/>
        </w:rPr>
        <w:t>a</w:t>
      </w:r>
      <w:r>
        <w:rPr>
          <w:color w:val="010202"/>
          <w:spacing w:val="-3"/>
        </w:rPr>
        <w:t xml:space="preserve"> </w:t>
      </w:r>
      <w:r>
        <w:rPr>
          <w:color w:val="010202"/>
        </w:rPr>
        <w:t>matter</w:t>
      </w:r>
      <w:r>
        <w:rPr>
          <w:color w:val="010202"/>
          <w:spacing w:val="-2"/>
        </w:rPr>
        <w:t xml:space="preserve"> </w:t>
      </w:r>
      <w:r>
        <w:rPr>
          <w:color w:val="010202"/>
        </w:rPr>
        <w:t>to</w:t>
      </w:r>
      <w:r>
        <w:rPr>
          <w:color w:val="010202"/>
          <w:spacing w:val="-2"/>
        </w:rPr>
        <w:t xml:space="preserve"> </w:t>
      </w:r>
      <w:r>
        <w:rPr>
          <w:color w:val="010202"/>
        </w:rPr>
        <w:t>be</w:t>
      </w:r>
      <w:r>
        <w:rPr>
          <w:color w:val="010202"/>
          <w:spacing w:val="-2"/>
        </w:rPr>
        <w:t xml:space="preserve"> </w:t>
      </w:r>
      <w:r>
        <w:rPr>
          <w:color w:val="010202"/>
        </w:rPr>
        <w:t>considered</w:t>
      </w:r>
      <w:r>
        <w:rPr>
          <w:color w:val="010202"/>
          <w:spacing w:val="-2"/>
        </w:rPr>
        <w:t xml:space="preserve"> </w:t>
      </w:r>
      <w:r>
        <w:rPr>
          <w:color w:val="010202"/>
        </w:rPr>
        <w:t>vilification</w:t>
      </w:r>
      <w:r>
        <w:rPr>
          <w:color w:val="010202"/>
          <w:spacing w:val="-2"/>
        </w:rPr>
        <w:t xml:space="preserve"> </w:t>
      </w:r>
      <w:r>
        <w:rPr>
          <w:color w:val="010202"/>
        </w:rPr>
        <w:t>under</w:t>
      </w:r>
      <w:r>
        <w:rPr>
          <w:color w:val="010202"/>
          <w:spacing w:val="-3"/>
        </w:rPr>
        <w:t xml:space="preserve"> </w:t>
      </w:r>
      <w:r>
        <w:rPr>
          <w:color w:val="010202"/>
        </w:rPr>
        <w:t>Queensland</w:t>
      </w:r>
      <w:r>
        <w:rPr>
          <w:color w:val="010202"/>
          <w:spacing w:val="-1"/>
        </w:rPr>
        <w:t xml:space="preserve"> </w:t>
      </w:r>
      <w:r>
        <w:rPr>
          <w:color w:val="010202"/>
        </w:rPr>
        <w:t>law,</w:t>
      </w:r>
      <w:r>
        <w:rPr>
          <w:color w:val="010202"/>
          <w:spacing w:val="-2"/>
        </w:rPr>
        <w:t xml:space="preserve"> </w:t>
      </w:r>
      <w:r>
        <w:rPr>
          <w:color w:val="010202"/>
        </w:rPr>
        <w:t>it</w:t>
      </w:r>
      <w:r>
        <w:rPr>
          <w:color w:val="010202"/>
          <w:spacing w:val="-3"/>
        </w:rPr>
        <w:t xml:space="preserve"> </w:t>
      </w:r>
      <w:r>
        <w:rPr>
          <w:color w:val="010202"/>
        </w:rPr>
        <w:t>has</w:t>
      </w:r>
      <w:r>
        <w:rPr>
          <w:color w:val="010202"/>
          <w:spacing w:val="-2"/>
        </w:rPr>
        <w:t xml:space="preserve"> </w:t>
      </w:r>
      <w:r>
        <w:rPr>
          <w:color w:val="010202"/>
          <w:spacing w:val="-5"/>
        </w:rPr>
        <w:t>to:</w:t>
      </w:r>
    </w:p>
    <w:p w14:paraId="4CA45F7B" w14:textId="77777777" w:rsidR="004C1D51" w:rsidRDefault="004C1D51" w:rsidP="004C1D51">
      <w:pPr>
        <w:pStyle w:val="BodyText"/>
        <w:spacing w:before="2"/>
        <w:rPr>
          <w:sz w:val="19"/>
        </w:rPr>
      </w:pPr>
    </w:p>
    <w:p w14:paraId="58EFCD3F"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have</w:t>
      </w:r>
      <w:r>
        <w:rPr>
          <w:color w:val="010202"/>
          <w:spacing w:val="-5"/>
          <w:sz w:val="20"/>
        </w:rPr>
        <w:t xml:space="preserve"> </w:t>
      </w:r>
      <w:r>
        <w:rPr>
          <w:color w:val="010202"/>
          <w:sz w:val="20"/>
        </w:rPr>
        <w:t>happened</w:t>
      </w:r>
      <w:r>
        <w:rPr>
          <w:color w:val="010202"/>
          <w:spacing w:val="-5"/>
          <w:sz w:val="20"/>
        </w:rPr>
        <w:t xml:space="preserve"> </w:t>
      </w:r>
      <w:r>
        <w:rPr>
          <w:color w:val="010202"/>
          <w:sz w:val="20"/>
        </w:rPr>
        <w:t>in</w:t>
      </w:r>
      <w:r>
        <w:rPr>
          <w:color w:val="010202"/>
          <w:spacing w:val="-4"/>
          <w:sz w:val="20"/>
        </w:rPr>
        <w:t xml:space="preserve"> </w:t>
      </w:r>
      <w:r>
        <w:rPr>
          <w:color w:val="010202"/>
          <w:spacing w:val="-2"/>
          <w:sz w:val="20"/>
        </w:rPr>
        <w:t>public</w:t>
      </w:r>
    </w:p>
    <w:p w14:paraId="02A1C262"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be</w:t>
      </w:r>
      <w:r>
        <w:rPr>
          <w:color w:val="010202"/>
          <w:spacing w:val="-3"/>
          <w:sz w:val="20"/>
        </w:rPr>
        <w:t xml:space="preserve"> </w:t>
      </w:r>
      <w:r>
        <w:rPr>
          <w:color w:val="010202"/>
          <w:sz w:val="20"/>
        </w:rPr>
        <w:t>capable</w:t>
      </w:r>
      <w:r>
        <w:rPr>
          <w:color w:val="010202"/>
          <w:spacing w:val="-2"/>
          <w:sz w:val="20"/>
        </w:rPr>
        <w:t xml:space="preserve"> </w:t>
      </w:r>
      <w:r>
        <w:rPr>
          <w:color w:val="010202"/>
          <w:sz w:val="20"/>
        </w:rPr>
        <w:t>of</w:t>
      </w:r>
      <w:r>
        <w:rPr>
          <w:color w:val="010202"/>
          <w:spacing w:val="-3"/>
          <w:sz w:val="20"/>
        </w:rPr>
        <w:t xml:space="preserve"> </w:t>
      </w:r>
      <w:r>
        <w:rPr>
          <w:color w:val="010202"/>
          <w:sz w:val="20"/>
        </w:rPr>
        <w:t>inciting</w:t>
      </w:r>
      <w:r>
        <w:rPr>
          <w:color w:val="010202"/>
          <w:spacing w:val="-3"/>
          <w:sz w:val="20"/>
        </w:rPr>
        <w:t xml:space="preserve"> </w:t>
      </w:r>
      <w:r>
        <w:rPr>
          <w:color w:val="010202"/>
          <w:sz w:val="20"/>
        </w:rPr>
        <w:t>hatred,</w:t>
      </w:r>
      <w:r>
        <w:rPr>
          <w:color w:val="010202"/>
          <w:spacing w:val="-3"/>
          <w:sz w:val="20"/>
        </w:rPr>
        <w:t xml:space="preserve"> </w:t>
      </w:r>
      <w:r>
        <w:rPr>
          <w:color w:val="010202"/>
          <w:sz w:val="20"/>
        </w:rPr>
        <w:t>contempt</w:t>
      </w:r>
      <w:r>
        <w:rPr>
          <w:color w:val="010202"/>
          <w:spacing w:val="-2"/>
          <w:sz w:val="20"/>
        </w:rPr>
        <w:t xml:space="preserve"> </w:t>
      </w:r>
      <w:r>
        <w:rPr>
          <w:color w:val="010202"/>
          <w:sz w:val="20"/>
        </w:rPr>
        <w:t>or</w:t>
      </w:r>
      <w:r>
        <w:rPr>
          <w:color w:val="010202"/>
          <w:spacing w:val="-3"/>
          <w:sz w:val="20"/>
        </w:rPr>
        <w:t xml:space="preserve"> </w:t>
      </w:r>
      <w:r>
        <w:rPr>
          <w:color w:val="010202"/>
          <w:sz w:val="20"/>
        </w:rPr>
        <w:t>severe</w:t>
      </w:r>
      <w:r>
        <w:rPr>
          <w:color w:val="010202"/>
          <w:spacing w:val="-2"/>
          <w:sz w:val="20"/>
        </w:rPr>
        <w:t xml:space="preserve"> ridicule</w:t>
      </w:r>
    </w:p>
    <w:p w14:paraId="12AACA93"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of</w:t>
      </w:r>
      <w:r>
        <w:rPr>
          <w:color w:val="010202"/>
          <w:spacing w:val="-3"/>
          <w:sz w:val="20"/>
        </w:rPr>
        <w:t xml:space="preserve"> </w:t>
      </w:r>
      <w:r>
        <w:rPr>
          <w:color w:val="010202"/>
          <w:sz w:val="20"/>
        </w:rPr>
        <w:t>someone</w:t>
      </w:r>
      <w:r>
        <w:rPr>
          <w:color w:val="010202"/>
          <w:spacing w:val="-1"/>
          <w:sz w:val="20"/>
        </w:rPr>
        <w:t xml:space="preserve"> </w:t>
      </w:r>
      <w:r>
        <w:rPr>
          <w:color w:val="010202"/>
          <w:sz w:val="20"/>
        </w:rPr>
        <w:t>on</w:t>
      </w:r>
      <w:r>
        <w:rPr>
          <w:color w:val="010202"/>
          <w:spacing w:val="-2"/>
          <w:sz w:val="20"/>
        </w:rPr>
        <w:t xml:space="preserve"> </w:t>
      </w:r>
      <w:r>
        <w:rPr>
          <w:color w:val="010202"/>
          <w:sz w:val="20"/>
        </w:rPr>
        <w:t>the</w:t>
      </w:r>
      <w:r>
        <w:rPr>
          <w:color w:val="010202"/>
          <w:spacing w:val="-1"/>
          <w:sz w:val="20"/>
        </w:rPr>
        <w:t xml:space="preserve"> </w:t>
      </w:r>
      <w:r>
        <w:rPr>
          <w:color w:val="010202"/>
          <w:sz w:val="20"/>
        </w:rPr>
        <w:t>grounds</w:t>
      </w:r>
      <w:r>
        <w:rPr>
          <w:color w:val="010202"/>
          <w:spacing w:val="-3"/>
          <w:sz w:val="20"/>
        </w:rPr>
        <w:t xml:space="preserve"> </w:t>
      </w:r>
      <w:r>
        <w:rPr>
          <w:color w:val="010202"/>
          <w:sz w:val="20"/>
        </w:rPr>
        <w:t>of</w:t>
      </w:r>
      <w:r>
        <w:rPr>
          <w:color w:val="010202"/>
          <w:spacing w:val="-2"/>
          <w:sz w:val="20"/>
        </w:rPr>
        <w:t xml:space="preserve"> </w:t>
      </w:r>
      <w:r>
        <w:rPr>
          <w:color w:val="010202"/>
          <w:sz w:val="20"/>
        </w:rPr>
        <w:t>their</w:t>
      </w:r>
      <w:r>
        <w:rPr>
          <w:color w:val="010202"/>
          <w:spacing w:val="-1"/>
          <w:sz w:val="20"/>
        </w:rPr>
        <w:t xml:space="preserve"> </w:t>
      </w:r>
      <w:r>
        <w:rPr>
          <w:color w:val="010202"/>
          <w:sz w:val="20"/>
        </w:rPr>
        <w:t>race,</w:t>
      </w:r>
      <w:r>
        <w:rPr>
          <w:color w:val="010202"/>
          <w:spacing w:val="-1"/>
          <w:sz w:val="20"/>
        </w:rPr>
        <w:t xml:space="preserve"> </w:t>
      </w:r>
      <w:r>
        <w:rPr>
          <w:color w:val="010202"/>
          <w:sz w:val="20"/>
        </w:rPr>
        <w:t>religion,</w:t>
      </w:r>
      <w:r>
        <w:rPr>
          <w:color w:val="010202"/>
          <w:spacing w:val="-2"/>
          <w:sz w:val="20"/>
        </w:rPr>
        <w:t xml:space="preserve"> </w:t>
      </w:r>
      <w:r>
        <w:rPr>
          <w:color w:val="010202"/>
          <w:sz w:val="20"/>
        </w:rPr>
        <w:t>sexuality</w:t>
      </w:r>
      <w:r>
        <w:rPr>
          <w:color w:val="010202"/>
          <w:spacing w:val="-1"/>
          <w:sz w:val="20"/>
        </w:rPr>
        <w:t xml:space="preserve"> </w:t>
      </w:r>
      <w:r>
        <w:rPr>
          <w:color w:val="010202"/>
          <w:sz w:val="20"/>
        </w:rPr>
        <w:t>or</w:t>
      </w:r>
      <w:r>
        <w:rPr>
          <w:color w:val="010202"/>
          <w:spacing w:val="-2"/>
          <w:sz w:val="20"/>
        </w:rPr>
        <w:t xml:space="preserve"> </w:t>
      </w:r>
      <w:r>
        <w:rPr>
          <w:color w:val="010202"/>
          <w:sz w:val="20"/>
        </w:rPr>
        <w:t>gender</w:t>
      </w:r>
      <w:r>
        <w:rPr>
          <w:color w:val="010202"/>
          <w:spacing w:val="-2"/>
          <w:sz w:val="20"/>
        </w:rPr>
        <w:t xml:space="preserve"> identity.</w:t>
      </w:r>
    </w:p>
    <w:p w14:paraId="3D2A19E2" w14:textId="77777777" w:rsidR="004C1D51" w:rsidRDefault="004C1D51" w:rsidP="004C1D51">
      <w:pPr>
        <w:pStyle w:val="BodyText"/>
        <w:spacing w:before="8"/>
        <w:rPr>
          <w:sz w:val="21"/>
        </w:rPr>
      </w:pPr>
    </w:p>
    <w:p w14:paraId="2C884335" w14:textId="5C19DF61" w:rsidR="004C1D51" w:rsidRPr="003E7F60" w:rsidRDefault="004C1D51" w:rsidP="003E7F60">
      <w:pPr>
        <w:pStyle w:val="BodyText"/>
        <w:spacing w:before="1" w:line="290" w:lineRule="auto"/>
        <w:ind w:left="113" w:right="380"/>
      </w:pPr>
      <w:r>
        <w:rPr>
          <w:color w:val="010202"/>
        </w:rPr>
        <w:t>If</w:t>
      </w:r>
      <w:r>
        <w:rPr>
          <w:color w:val="010202"/>
          <w:spacing w:val="-2"/>
        </w:rPr>
        <w:t xml:space="preserve"> </w:t>
      </w:r>
      <w:r>
        <w:rPr>
          <w:color w:val="010202"/>
        </w:rPr>
        <w:t>you</w:t>
      </w:r>
      <w:r>
        <w:rPr>
          <w:color w:val="010202"/>
          <w:spacing w:val="-2"/>
        </w:rPr>
        <w:t xml:space="preserve"> </w:t>
      </w:r>
      <w:r>
        <w:rPr>
          <w:color w:val="010202"/>
        </w:rPr>
        <w:t>believe</w:t>
      </w:r>
      <w:r>
        <w:rPr>
          <w:color w:val="010202"/>
          <w:spacing w:val="-3"/>
        </w:rPr>
        <w:t xml:space="preserve"> </w:t>
      </w:r>
      <w:r>
        <w:rPr>
          <w:color w:val="010202"/>
        </w:rPr>
        <w:t>someone</w:t>
      </w:r>
      <w:r>
        <w:rPr>
          <w:color w:val="010202"/>
          <w:spacing w:val="-2"/>
        </w:rPr>
        <w:t xml:space="preserve"> </w:t>
      </w:r>
      <w:r>
        <w:rPr>
          <w:color w:val="010202"/>
        </w:rPr>
        <w:t>has</w:t>
      </w:r>
      <w:r>
        <w:rPr>
          <w:color w:val="010202"/>
          <w:spacing w:val="-3"/>
        </w:rPr>
        <w:t xml:space="preserve"> </w:t>
      </w:r>
      <w:r>
        <w:rPr>
          <w:color w:val="010202"/>
        </w:rPr>
        <w:t>vilified</w:t>
      </w:r>
      <w:r>
        <w:rPr>
          <w:color w:val="010202"/>
          <w:spacing w:val="-2"/>
        </w:rPr>
        <w:t xml:space="preserve"> </w:t>
      </w:r>
      <w:r>
        <w:rPr>
          <w:color w:val="010202"/>
        </w:rPr>
        <w:t>you,</w:t>
      </w:r>
      <w:r>
        <w:rPr>
          <w:color w:val="010202"/>
          <w:spacing w:val="-2"/>
        </w:rPr>
        <w:t xml:space="preserve"> </w:t>
      </w:r>
      <w:r>
        <w:rPr>
          <w:color w:val="010202"/>
        </w:rPr>
        <w:t>but</w:t>
      </w:r>
      <w:r>
        <w:rPr>
          <w:color w:val="010202"/>
          <w:spacing w:val="-3"/>
        </w:rPr>
        <w:t xml:space="preserve"> </w:t>
      </w:r>
      <w:r>
        <w:rPr>
          <w:color w:val="010202"/>
        </w:rPr>
        <w:t>on</w:t>
      </w:r>
      <w:r>
        <w:rPr>
          <w:color w:val="010202"/>
          <w:spacing w:val="-3"/>
        </w:rPr>
        <w:t xml:space="preserve"> </w:t>
      </w:r>
      <w:r>
        <w:rPr>
          <w:color w:val="010202"/>
        </w:rPr>
        <w:t>other</w:t>
      </w:r>
      <w:r>
        <w:rPr>
          <w:color w:val="010202"/>
          <w:spacing w:val="-3"/>
        </w:rPr>
        <w:t xml:space="preserve"> </w:t>
      </w:r>
      <w:r>
        <w:rPr>
          <w:color w:val="010202"/>
        </w:rPr>
        <w:t>grounds</w:t>
      </w:r>
      <w:r>
        <w:rPr>
          <w:color w:val="010202"/>
          <w:spacing w:val="-3"/>
        </w:rPr>
        <w:t xml:space="preserve"> </w:t>
      </w:r>
      <w:r>
        <w:rPr>
          <w:color w:val="010202"/>
        </w:rPr>
        <w:t>–</w:t>
      </w:r>
      <w:r>
        <w:rPr>
          <w:color w:val="010202"/>
          <w:spacing w:val="-3"/>
        </w:rPr>
        <w:t xml:space="preserve"> </w:t>
      </w:r>
      <w:r>
        <w:rPr>
          <w:color w:val="010202"/>
        </w:rPr>
        <w:t>for</w:t>
      </w:r>
      <w:r>
        <w:rPr>
          <w:color w:val="010202"/>
          <w:spacing w:val="-2"/>
        </w:rPr>
        <w:t xml:space="preserve"> </w:t>
      </w:r>
      <w:r>
        <w:rPr>
          <w:color w:val="010202"/>
        </w:rPr>
        <w:t>example,</w:t>
      </w:r>
      <w:r>
        <w:rPr>
          <w:color w:val="010202"/>
          <w:spacing w:val="-3"/>
        </w:rPr>
        <w:t xml:space="preserve"> </w:t>
      </w:r>
      <w:r>
        <w:rPr>
          <w:color w:val="010202"/>
        </w:rPr>
        <w:t>your</w:t>
      </w:r>
      <w:r>
        <w:rPr>
          <w:color w:val="010202"/>
          <w:spacing w:val="-2"/>
        </w:rPr>
        <w:t xml:space="preserve"> </w:t>
      </w:r>
      <w:r>
        <w:rPr>
          <w:color w:val="010202"/>
        </w:rPr>
        <w:t>sex</w:t>
      </w:r>
      <w:r>
        <w:rPr>
          <w:color w:val="010202"/>
          <w:spacing w:val="-2"/>
        </w:rPr>
        <w:t xml:space="preserve"> </w:t>
      </w:r>
      <w:r>
        <w:rPr>
          <w:color w:val="010202"/>
        </w:rPr>
        <w:t>or</w:t>
      </w:r>
      <w:r>
        <w:rPr>
          <w:color w:val="010202"/>
          <w:spacing w:val="-3"/>
        </w:rPr>
        <w:t xml:space="preserve"> </w:t>
      </w:r>
      <w:r>
        <w:rPr>
          <w:color w:val="010202"/>
        </w:rPr>
        <w:t>your disability – you can’t lodge a vilification complaint with us, but you may be able to make a discrimination complaint.</w:t>
      </w:r>
    </w:p>
    <w:p w14:paraId="02870852" w14:textId="77777777" w:rsidR="004C1D51" w:rsidRDefault="004C1D51" w:rsidP="004C1D51">
      <w:pPr>
        <w:pStyle w:val="Heading1"/>
      </w:pPr>
      <w:bookmarkStart w:id="200" w:name="_Toc131144723"/>
      <w:r>
        <w:rPr>
          <w:color w:val="347A9F"/>
        </w:rPr>
        <w:t>Other</w:t>
      </w:r>
      <w:r>
        <w:rPr>
          <w:color w:val="347A9F"/>
          <w:spacing w:val="-3"/>
        </w:rPr>
        <w:t xml:space="preserve"> </w:t>
      </w:r>
      <w:r>
        <w:rPr>
          <w:color w:val="347A9F"/>
        </w:rPr>
        <w:t>types of</w:t>
      </w:r>
      <w:r>
        <w:rPr>
          <w:color w:val="347A9F"/>
          <w:spacing w:val="-1"/>
        </w:rPr>
        <w:t xml:space="preserve"> </w:t>
      </w:r>
      <w:r>
        <w:rPr>
          <w:color w:val="347A9F"/>
          <w:spacing w:val="-2"/>
        </w:rPr>
        <w:t>complaints</w:t>
      </w:r>
      <w:bookmarkEnd w:id="200"/>
    </w:p>
    <w:p w14:paraId="1156F0E2" w14:textId="77777777" w:rsidR="004C1D51" w:rsidRDefault="004C1D51" w:rsidP="004C1D51">
      <w:pPr>
        <w:pStyle w:val="BodyText"/>
        <w:spacing w:before="186"/>
        <w:ind w:left="113"/>
      </w:pPr>
      <w:r>
        <w:rPr>
          <w:color w:val="010202"/>
        </w:rPr>
        <w:t>We</w:t>
      </w:r>
      <w:r>
        <w:rPr>
          <w:color w:val="010202"/>
          <w:spacing w:val="-3"/>
        </w:rPr>
        <w:t xml:space="preserve"> </w:t>
      </w:r>
      <w:r>
        <w:rPr>
          <w:color w:val="010202"/>
        </w:rPr>
        <w:t>can</w:t>
      </w:r>
      <w:r>
        <w:rPr>
          <w:color w:val="010202"/>
          <w:spacing w:val="-2"/>
        </w:rPr>
        <w:t xml:space="preserve"> </w:t>
      </w:r>
      <w:r>
        <w:rPr>
          <w:color w:val="010202"/>
        </w:rPr>
        <w:t>deal</w:t>
      </w:r>
      <w:r>
        <w:rPr>
          <w:color w:val="010202"/>
          <w:spacing w:val="-3"/>
        </w:rPr>
        <w:t xml:space="preserve"> </w:t>
      </w:r>
      <w:r>
        <w:rPr>
          <w:color w:val="010202"/>
        </w:rPr>
        <w:t>with</w:t>
      </w:r>
      <w:r>
        <w:rPr>
          <w:color w:val="010202"/>
          <w:spacing w:val="-3"/>
        </w:rPr>
        <w:t xml:space="preserve"> </w:t>
      </w:r>
      <w:r>
        <w:rPr>
          <w:color w:val="010202"/>
        </w:rPr>
        <w:t>complaints</w:t>
      </w:r>
      <w:r>
        <w:rPr>
          <w:color w:val="010202"/>
          <w:spacing w:val="-2"/>
        </w:rPr>
        <w:t xml:space="preserve"> about:</w:t>
      </w:r>
    </w:p>
    <w:p w14:paraId="4F63BF55" w14:textId="77777777" w:rsidR="004C1D51" w:rsidRDefault="004C1D51" w:rsidP="004C1D51">
      <w:pPr>
        <w:pStyle w:val="BodyText"/>
        <w:spacing w:before="2"/>
        <w:rPr>
          <w:sz w:val="19"/>
        </w:rPr>
      </w:pPr>
    </w:p>
    <w:p w14:paraId="40AFF752"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reprisal</w:t>
      </w:r>
      <w:r>
        <w:rPr>
          <w:color w:val="010202"/>
          <w:spacing w:val="-3"/>
          <w:sz w:val="20"/>
        </w:rPr>
        <w:t xml:space="preserve"> </w:t>
      </w:r>
      <w:r>
        <w:rPr>
          <w:color w:val="010202"/>
          <w:sz w:val="20"/>
        </w:rPr>
        <w:t>for</w:t>
      </w:r>
      <w:r>
        <w:rPr>
          <w:color w:val="010202"/>
          <w:spacing w:val="-2"/>
          <w:sz w:val="20"/>
        </w:rPr>
        <w:t xml:space="preserve"> </w:t>
      </w:r>
      <w:r>
        <w:rPr>
          <w:color w:val="010202"/>
          <w:sz w:val="20"/>
        </w:rPr>
        <w:t>a</w:t>
      </w:r>
      <w:r>
        <w:rPr>
          <w:color w:val="010202"/>
          <w:spacing w:val="-4"/>
          <w:sz w:val="20"/>
        </w:rPr>
        <w:t xml:space="preserve"> </w:t>
      </w:r>
      <w:r>
        <w:rPr>
          <w:color w:val="010202"/>
          <w:sz w:val="20"/>
        </w:rPr>
        <w:t>public</w:t>
      </w:r>
      <w:r>
        <w:rPr>
          <w:color w:val="010202"/>
          <w:spacing w:val="-3"/>
          <w:sz w:val="20"/>
        </w:rPr>
        <w:t xml:space="preserve"> </w:t>
      </w:r>
      <w:r>
        <w:rPr>
          <w:color w:val="010202"/>
          <w:sz w:val="20"/>
        </w:rPr>
        <w:t>interest</w:t>
      </w:r>
      <w:r>
        <w:rPr>
          <w:color w:val="010202"/>
          <w:spacing w:val="-3"/>
          <w:sz w:val="20"/>
        </w:rPr>
        <w:t xml:space="preserve"> </w:t>
      </w:r>
      <w:r>
        <w:rPr>
          <w:color w:val="010202"/>
          <w:spacing w:val="-2"/>
          <w:sz w:val="20"/>
        </w:rPr>
        <w:t>disclosure</w:t>
      </w:r>
    </w:p>
    <w:p w14:paraId="39AFDDA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victimisation</w:t>
      </w:r>
    </w:p>
    <w:p w14:paraId="2AD739D8"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pacing w:val="-2"/>
          <w:sz w:val="20"/>
        </w:rPr>
        <w:t>discriminatory</w:t>
      </w:r>
      <w:r>
        <w:rPr>
          <w:color w:val="010202"/>
          <w:spacing w:val="14"/>
          <w:sz w:val="20"/>
        </w:rPr>
        <w:t xml:space="preserve"> </w:t>
      </w:r>
      <w:r>
        <w:rPr>
          <w:color w:val="010202"/>
          <w:spacing w:val="-2"/>
          <w:sz w:val="20"/>
        </w:rPr>
        <w:t>advertising</w:t>
      </w:r>
    </w:p>
    <w:p w14:paraId="1DD2D5B5"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unnecessary</w:t>
      </w:r>
      <w:r>
        <w:rPr>
          <w:color w:val="010202"/>
          <w:spacing w:val="-11"/>
          <w:sz w:val="20"/>
        </w:rPr>
        <w:t xml:space="preserve"> </w:t>
      </w:r>
      <w:r>
        <w:rPr>
          <w:color w:val="010202"/>
          <w:spacing w:val="-2"/>
          <w:sz w:val="20"/>
        </w:rPr>
        <w:t>questions</w:t>
      </w:r>
    </w:p>
    <w:p w14:paraId="3C5D4A1C"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requesting</w:t>
      </w:r>
      <w:r>
        <w:rPr>
          <w:color w:val="010202"/>
          <w:spacing w:val="-3"/>
          <w:sz w:val="20"/>
        </w:rPr>
        <w:t xml:space="preserve"> </w:t>
      </w:r>
      <w:r>
        <w:rPr>
          <w:color w:val="010202"/>
          <w:sz w:val="20"/>
        </w:rPr>
        <w:t>or</w:t>
      </w:r>
      <w:r>
        <w:rPr>
          <w:color w:val="010202"/>
          <w:spacing w:val="-4"/>
          <w:sz w:val="20"/>
        </w:rPr>
        <w:t xml:space="preserve"> </w:t>
      </w:r>
      <w:r>
        <w:rPr>
          <w:color w:val="010202"/>
          <w:sz w:val="20"/>
        </w:rPr>
        <w:t>encouraging</w:t>
      </w:r>
      <w:r>
        <w:rPr>
          <w:color w:val="010202"/>
          <w:spacing w:val="-4"/>
          <w:sz w:val="20"/>
        </w:rPr>
        <w:t xml:space="preserve"> </w:t>
      </w:r>
      <w:r>
        <w:rPr>
          <w:color w:val="010202"/>
          <w:sz w:val="20"/>
        </w:rPr>
        <w:t>a</w:t>
      </w:r>
      <w:r>
        <w:rPr>
          <w:color w:val="010202"/>
          <w:spacing w:val="-3"/>
          <w:sz w:val="20"/>
        </w:rPr>
        <w:t xml:space="preserve"> </w:t>
      </w:r>
      <w:r>
        <w:rPr>
          <w:color w:val="010202"/>
          <w:spacing w:val="-2"/>
          <w:sz w:val="20"/>
        </w:rPr>
        <w:t>contravention</w:t>
      </w:r>
    </w:p>
    <w:p w14:paraId="61F0E757" w14:textId="77777777" w:rsidR="004C1D51" w:rsidRDefault="004C1D51" w:rsidP="004C1D51">
      <w:pPr>
        <w:pStyle w:val="BodyText"/>
        <w:rPr>
          <w:sz w:val="22"/>
        </w:rPr>
      </w:pPr>
    </w:p>
    <w:p w14:paraId="71E7E645" w14:textId="77777777" w:rsidR="004C1D51" w:rsidRDefault="004C1D51" w:rsidP="004C1D51">
      <w:pPr>
        <w:pStyle w:val="Heading1"/>
        <w:spacing w:before="144"/>
      </w:pPr>
      <w:bookmarkStart w:id="201" w:name="_Toc131144724"/>
      <w:r>
        <w:rPr>
          <w:color w:val="347A9F"/>
        </w:rPr>
        <w:t>How</w:t>
      </w:r>
      <w:r>
        <w:rPr>
          <w:color w:val="347A9F"/>
          <w:spacing w:val="-1"/>
        </w:rPr>
        <w:t xml:space="preserve"> </w:t>
      </w:r>
      <w:r>
        <w:rPr>
          <w:color w:val="347A9F"/>
        </w:rPr>
        <w:t>do</w:t>
      </w:r>
      <w:r>
        <w:rPr>
          <w:color w:val="347A9F"/>
          <w:spacing w:val="-2"/>
        </w:rPr>
        <w:t xml:space="preserve"> </w:t>
      </w:r>
      <w:r>
        <w:rPr>
          <w:color w:val="347A9F"/>
        </w:rPr>
        <w:t>I</w:t>
      </w:r>
      <w:r>
        <w:rPr>
          <w:color w:val="347A9F"/>
          <w:spacing w:val="-1"/>
        </w:rPr>
        <w:t xml:space="preserve"> </w:t>
      </w:r>
      <w:r>
        <w:rPr>
          <w:color w:val="347A9F"/>
          <w:spacing w:val="-2"/>
        </w:rPr>
        <w:t>complain?</w:t>
      </w:r>
      <w:bookmarkEnd w:id="201"/>
    </w:p>
    <w:p w14:paraId="6879D3F5" w14:textId="77777777" w:rsidR="004C1D51" w:rsidRDefault="004C1D51" w:rsidP="004C1D51">
      <w:pPr>
        <w:pStyle w:val="BodyText"/>
        <w:spacing w:before="186"/>
        <w:ind w:left="113"/>
      </w:pPr>
      <w:r>
        <w:rPr>
          <w:color w:val="010202"/>
        </w:rPr>
        <w:t>You</w:t>
      </w:r>
      <w:r>
        <w:rPr>
          <w:color w:val="010202"/>
          <w:spacing w:val="-6"/>
        </w:rPr>
        <w:t xml:space="preserve"> </w:t>
      </w:r>
      <w:r>
        <w:rPr>
          <w:color w:val="010202"/>
        </w:rPr>
        <w:t>must</w:t>
      </w:r>
      <w:r>
        <w:rPr>
          <w:color w:val="010202"/>
          <w:spacing w:val="-3"/>
        </w:rPr>
        <w:t xml:space="preserve"> </w:t>
      </w:r>
      <w:r>
        <w:rPr>
          <w:color w:val="010202"/>
        </w:rPr>
        <w:t>put</w:t>
      </w:r>
      <w:r>
        <w:rPr>
          <w:color w:val="010202"/>
          <w:spacing w:val="-3"/>
        </w:rPr>
        <w:t xml:space="preserve"> </w:t>
      </w:r>
      <w:r>
        <w:rPr>
          <w:color w:val="010202"/>
        </w:rPr>
        <w:t>your</w:t>
      </w:r>
      <w:r>
        <w:rPr>
          <w:color w:val="010202"/>
          <w:spacing w:val="-3"/>
        </w:rPr>
        <w:t xml:space="preserve"> </w:t>
      </w:r>
      <w:r>
        <w:rPr>
          <w:color w:val="010202"/>
        </w:rPr>
        <w:t>complaint</w:t>
      </w:r>
      <w:r>
        <w:rPr>
          <w:color w:val="010202"/>
          <w:spacing w:val="-2"/>
        </w:rPr>
        <w:t xml:space="preserve"> </w:t>
      </w:r>
      <w:r>
        <w:rPr>
          <w:color w:val="010202"/>
        </w:rPr>
        <w:t>in</w:t>
      </w:r>
      <w:r>
        <w:rPr>
          <w:color w:val="010202"/>
          <w:spacing w:val="-4"/>
        </w:rPr>
        <w:t xml:space="preserve"> </w:t>
      </w:r>
      <w:r>
        <w:rPr>
          <w:color w:val="010202"/>
        </w:rPr>
        <w:t>writing.</w:t>
      </w:r>
      <w:r>
        <w:rPr>
          <w:color w:val="010202"/>
          <w:spacing w:val="-6"/>
        </w:rPr>
        <w:t xml:space="preserve"> </w:t>
      </w:r>
      <w:r>
        <w:rPr>
          <w:color w:val="010202"/>
        </w:rPr>
        <w:t>This</w:t>
      </w:r>
      <w:r>
        <w:rPr>
          <w:color w:val="010202"/>
          <w:spacing w:val="-3"/>
        </w:rPr>
        <w:t xml:space="preserve"> </w:t>
      </w:r>
      <w:r>
        <w:rPr>
          <w:color w:val="010202"/>
        </w:rPr>
        <w:t>means</w:t>
      </w:r>
      <w:r>
        <w:rPr>
          <w:color w:val="010202"/>
          <w:spacing w:val="-2"/>
        </w:rPr>
        <w:t xml:space="preserve"> </w:t>
      </w:r>
      <w:r>
        <w:rPr>
          <w:color w:val="010202"/>
        </w:rPr>
        <w:t>sending</w:t>
      </w:r>
      <w:r>
        <w:rPr>
          <w:color w:val="010202"/>
          <w:spacing w:val="-3"/>
        </w:rPr>
        <w:t xml:space="preserve"> </w:t>
      </w:r>
      <w:r>
        <w:rPr>
          <w:color w:val="010202"/>
        </w:rPr>
        <w:t>a</w:t>
      </w:r>
      <w:r>
        <w:rPr>
          <w:color w:val="010202"/>
          <w:spacing w:val="-3"/>
        </w:rPr>
        <w:t xml:space="preserve"> </w:t>
      </w:r>
      <w:r>
        <w:rPr>
          <w:color w:val="010202"/>
        </w:rPr>
        <w:t>letter</w:t>
      </w:r>
      <w:r>
        <w:rPr>
          <w:color w:val="010202"/>
          <w:spacing w:val="-4"/>
        </w:rPr>
        <w:t xml:space="preserve"> </w:t>
      </w:r>
      <w:r>
        <w:rPr>
          <w:color w:val="010202"/>
        </w:rPr>
        <w:t>or</w:t>
      </w:r>
      <w:r>
        <w:rPr>
          <w:color w:val="010202"/>
          <w:spacing w:val="-3"/>
        </w:rPr>
        <w:t xml:space="preserve"> </w:t>
      </w:r>
      <w:r>
        <w:rPr>
          <w:color w:val="010202"/>
        </w:rPr>
        <w:t>email,</w:t>
      </w:r>
      <w:r>
        <w:rPr>
          <w:color w:val="010202"/>
          <w:spacing w:val="-4"/>
        </w:rPr>
        <w:t xml:space="preserve"> </w:t>
      </w:r>
      <w:r>
        <w:rPr>
          <w:color w:val="010202"/>
        </w:rPr>
        <w:t>filling</w:t>
      </w:r>
      <w:r>
        <w:rPr>
          <w:color w:val="010202"/>
          <w:spacing w:val="-2"/>
        </w:rPr>
        <w:t xml:space="preserve"> </w:t>
      </w:r>
      <w:r>
        <w:rPr>
          <w:color w:val="010202"/>
        </w:rPr>
        <w:t>out</w:t>
      </w:r>
      <w:r>
        <w:rPr>
          <w:color w:val="010202"/>
          <w:spacing w:val="-4"/>
        </w:rPr>
        <w:t xml:space="preserve"> </w:t>
      </w:r>
      <w:r>
        <w:rPr>
          <w:color w:val="010202"/>
        </w:rPr>
        <w:t>a</w:t>
      </w:r>
      <w:r>
        <w:rPr>
          <w:color w:val="010202"/>
          <w:spacing w:val="-3"/>
        </w:rPr>
        <w:t xml:space="preserve"> </w:t>
      </w:r>
      <w:r>
        <w:rPr>
          <w:color w:val="010202"/>
          <w:spacing w:val="-2"/>
        </w:rPr>
        <w:t>complaint</w:t>
      </w:r>
    </w:p>
    <w:p w14:paraId="24C5579D" w14:textId="77777777" w:rsidR="004C1D51" w:rsidRDefault="004C1D51" w:rsidP="004C1D51">
      <w:pPr>
        <w:pStyle w:val="BodyText"/>
        <w:spacing w:before="50"/>
        <w:ind w:left="113"/>
      </w:pPr>
      <w:r>
        <w:rPr>
          <w:color w:val="010202"/>
        </w:rPr>
        <w:t>form</w:t>
      </w:r>
      <w:r>
        <w:rPr>
          <w:color w:val="010202"/>
          <w:spacing w:val="-4"/>
        </w:rPr>
        <w:t xml:space="preserve"> </w:t>
      </w:r>
      <w:r>
        <w:rPr>
          <w:color w:val="010202"/>
        </w:rPr>
        <w:t>online,</w:t>
      </w:r>
      <w:r>
        <w:rPr>
          <w:color w:val="010202"/>
          <w:spacing w:val="-2"/>
        </w:rPr>
        <w:t xml:space="preserve"> </w:t>
      </w:r>
      <w:r>
        <w:rPr>
          <w:color w:val="010202"/>
        </w:rPr>
        <w:t>or</w:t>
      </w:r>
      <w:r>
        <w:rPr>
          <w:color w:val="010202"/>
          <w:spacing w:val="-3"/>
        </w:rPr>
        <w:t xml:space="preserve"> </w:t>
      </w:r>
      <w:r>
        <w:rPr>
          <w:color w:val="010202"/>
        </w:rPr>
        <w:t>printing</w:t>
      </w:r>
      <w:r>
        <w:rPr>
          <w:color w:val="010202"/>
          <w:spacing w:val="-2"/>
        </w:rPr>
        <w:t xml:space="preserve"> </w:t>
      </w:r>
      <w:r>
        <w:rPr>
          <w:color w:val="010202"/>
        </w:rPr>
        <w:t>out</w:t>
      </w:r>
      <w:r>
        <w:rPr>
          <w:color w:val="010202"/>
          <w:spacing w:val="-3"/>
        </w:rPr>
        <w:t xml:space="preserve"> </w:t>
      </w:r>
      <w:r>
        <w:rPr>
          <w:color w:val="010202"/>
        </w:rPr>
        <w:t>and</w:t>
      </w:r>
      <w:r>
        <w:rPr>
          <w:color w:val="010202"/>
          <w:spacing w:val="-2"/>
        </w:rPr>
        <w:t xml:space="preserve"> </w:t>
      </w:r>
      <w:r>
        <w:rPr>
          <w:color w:val="010202"/>
        </w:rPr>
        <w:t>completing</w:t>
      </w:r>
      <w:r>
        <w:rPr>
          <w:color w:val="010202"/>
          <w:spacing w:val="-2"/>
        </w:rPr>
        <w:t xml:space="preserve"> </w:t>
      </w:r>
      <w:r>
        <w:rPr>
          <w:color w:val="010202"/>
        </w:rPr>
        <w:t>a</w:t>
      </w:r>
      <w:r>
        <w:rPr>
          <w:color w:val="010202"/>
          <w:spacing w:val="-2"/>
        </w:rPr>
        <w:t xml:space="preserve"> </w:t>
      </w:r>
      <w:r>
        <w:rPr>
          <w:color w:val="010202"/>
        </w:rPr>
        <w:t>complaint</w:t>
      </w:r>
      <w:r>
        <w:rPr>
          <w:color w:val="010202"/>
          <w:spacing w:val="-2"/>
        </w:rPr>
        <w:t xml:space="preserve"> </w:t>
      </w:r>
      <w:r>
        <w:rPr>
          <w:color w:val="010202"/>
        </w:rPr>
        <w:t>form</w:t>
      </w:r>
      <w:r>
        <w:rPr>
          <w:color w:val="010202"/>
          <w:spacing w:val="-1"/>
        </w:rPr>
        <w:t xml:space="preserve"> </w:t>
      </w:r>
      <w:r>
        <w:rPr>
          <w:color w:val="010202"/>
        </w:rPr>
        <w:t>and</w:t>
      </w:r>
      <w:r>
        <w:rPr>
          <w:color w:val="010202"/>
          <w:spacing w:val="-3"/>
        </w:rPr>
        <w:t xml:space="preserve"> </w:t>
      </w:r>
      <w:r>
        <w:rPr>
          <w:color w:val="010202"/>
        </w:rPr>
        <w:t>returning</w:t>
      </w:r>
      <w:r>
        <w:rPr>
          <w:color w:val="010202"/>
          <w:spacing w:val="-1"/>
        </w:rPr>
        <w:t xml:space="preserve"> </w:t>
      </w:r>
      <w:r>
        <w:rPr>
          <w:color w:val="010202"/>
        </w:rPr>
        <w:t>it</w:t>
      </w:r>
      <w:r>
        <w:rPr>
          <w:color w:val="010202"/>
          <w:spacing w:val="-3"/>
        </w:rPr>
        <w:t xml:space="preserve"> </w:t>
      </w:r>
      <w:r>
        <w:rPr>
          <w:color w:val="010202"/>
        </w:rPr>
        <w:t>to</w:t>
      </w:r>
      <w:r>
        <w:rPr>
          <w:color w:val="010202"/>
          <w:spacing w:val="-1"/>
        </w:rPr>
        <w:t xml:space="preserve"> </w:t>
      </w:r>
      <w:r>
        <w:rPr>
          <w:color w:val="010202"/>
          <w:spacing w:val="-5"/>
        </w:rPr>
        <w:t>us.</w:t>
      </w:r>
    </w:p>
    <w:p w14:paraId="41BEF44F" w14:textId="77777777" w:rsidR="004C1D51" w:rsidRDefault="004C1D51" w:rsidP="004C1D51">
      <w:pPr>
        <w:pStyle w:val="BodyText"/>
        <w:spacing w:before="1"/>
        <w:rPr>
          <w:sz w:val="19"/>
        </w:rPr>
      </w:pPr>
    </w:p>
    <w:p w14:paraId="55AF3F1C" w14:textId="77777777" w:rsidR="004C1D51" w:rsidRDefault="004C1D51" w:rsidP="004C1D51">
      <w:pPr>
        <w:pStyle w:val="BodyText"/>
        <w:spacing w:before="1"/>
        <w:ind w:left="113"/>
      </w:pPr>
      <w:r>
        <w:rPr>
          <w:color w:val="010202"/>
        </w:rPr>
        <w:t>If</w:t>
      </w:r>
      <w:r>
        <w:rPr>
          <w:color w:val="010202"/>
          <w:spacing w:val="-2"/>
        </w:rPr>
        <w:t xml:space="preserve"> </w:t>
      </w:r>
      <w:r>
        <w:rPr>
          <w:color w:val="010202"/>
        </w:rPr>
        <w:t>you</w:t>
      </w:r>
      <w:r>
        <w:rPr>
          <w:color w:val="010202"/>
          <w:spacing w:val="-1"/>
        </w:rPr>
        <w:t xml:space="preserve"> </w:t>
      </w:r>
      <w:r>
        <w:rPr>
          <w:color w:val="010202"/>
        </w:rPr>
        <w:t>need</w:t>
      </w:r>
      <w:r>
        <w:rPr>
          <w:color w:val="010202"/>
          <w:spacing w:val="-2"/>
        </w:rPr>
        <w:t xml:space="preserve"> </w:t>
      </w:r>
      <w:r>
        <w:rPr>
          <w:color w:val="010202"/>
        </w:rPr>
        <w:t>help</w:t>
      </w:r>
      <w:r>
        <w:rPr>
          <w:color w:val="010202"/>
          <w:spacing w:val="-2"/>
        </w:rPr>
        <w:t xml:space="preserve"> </w:t>
      </w:r>
      <w:r>
        <w:rPr>
          <w:color w:val="010202"/>
        </w:rPr>
        <w:t>to</w:t>
      </w:r>
      <w:r>
        <w:rPr>
          <w:color w:val="010202"/>
          <w:spacing w:val="-1"/>
        </w:rPr>
        <w:t xml:space="preserve"> </w:t>
      </w:r>
      <w:r>
        <w:rPr>
          <w:color w:val="010202"/>
        </w:rPr>
        <w:t>put</w:t>
      </w:r>
      <w:r>
        <w:rPr>
          <w:color w:val="010202"/>
          <w:spacing w:val="-2"/>
        </w:rPr>
        <w:t xml:space="preserve"> </w:t>
      </w:r>
      <w:r>
        <w:rPr>
          <w:color w:val="010202"/>
        </w:rPr>
        <w:t>your</w:t>
      </w:r>
      <w:r>
        <w:rPr>
          <w:color w:val="010202"/>
          <w:spacing w:val="-2"/>
        </w:rPr>
        <w:t xml:space="preserve"> </w:t>
      </w:r>
      <w:r>
        <w:rPr>
          <w:color w:val="010202"/>
        </w:rPr>
        <w:t>complaint</w:t>
      </w:r>
      <w:r>
        <w:rPr>
          <w:color w:val="010202"/>
          <w:spacing w:val="-1"/>
        </w:rPr>
        <w:t xml:space="preserve"> </w:t>
      </w:r>
      <w:r>
        <w:rPr>
          <w:color w:val="010202"/>
        </w:rPr>
        <w:t>in</w:t>
      </w:r>
      <w:r>
        <w:rPr>
          <w:color w:val="010202"/>
          <w:spacing w:val="-2"/>
        </w:rPr>
        <w:t xml:space="preserve"> </w:t>
      </w:r>
      <w:r>
        <w:rPr>
          <w:color w:val="010202"/>
        </w:rPr>
        <w:t>writing,</w:t>
      </w:r>
      <w:r>
        <w:rPr>
          <w:color w:val="010202"/>
          <w:spacing w:val="-2"/>
        </w:rPr>
        <w:t xml:space="preserve"> </w:t>
      </w:r>
      <w:r>
        <w:rPr>
          <w:color w:val="010202"/>
        </w:rPr>
        <w:t>we</w:t>
      </w:r>
      <w:r>
        <w:rPr>
          <w:color w:val="010202"/>
          <w:spacing w:val="-2"/>
        </w:rPr>
        <w:t xml:space="preserve"> </w:t>
      </w:r>
      <w:r>
        <w:rPr>
          <w:color w:val="010202"/>
        </w:rPr>
        <w:t>will</w:t>
      </w:r>
      <w:r>
        <w:rPr>
          <w:color w:val="010202"/>
          <w:spacing w:val="-2"/>
        </w:rPr>
        <w:t xml:space="preserve"> </w:t>
      </w:r>
      <w:r>
        <w:rPr>
          <w:color w:val="010202"/>
        </w:rPr>
        <w:t>try</w:t>
      </w:r>
      <w:r>
        <w:rPr>
          <w:color w:val="010202"/>
          <w:spacing w:val="-1"/>
        </w:rPr>
        <w:t xml:space="preserve"> </w:t>
      </w:r>
      <w:r>
        <w:rPr>
          <w:color w:val="010202"/>
        </w:rPr>
        <w:t>to</w:t>
      </w:r>
      <w:r>
        <w:rPr>
          <w:color w:val="010202"/>
          <w:spacing w:val="-2"/>
        </w:rPr>
        <w:t xml:space="preserve"> </w:t>
      </w:r>
      <w:r>
        <w:rPr>
          <w:color w:val="010202"/>
        </w:rPr>
        <w:t>connect</w:t>
      </w:r>
      <w:r>
        <w:rPr>
          <w:color w:val="010202"/>
          <w:spacing w:val="-1"/>
        </w:rPr>
        <w:t xml:space="preserve"> </w:t>
      </w:r>
      <w:r>
        <w:rPr>
          <w:color w:val="010202"/>
        </w:rPr>
        <w:t>you</w:t>
      </w:r>
      <w:r>
        <w:rPr>
          <w:color w:val="010202"/>
          <w:spacing w:val="-1"/>
        </w:rPr>
        <w:t xml:space="preserve"> </w:t>
      </w:r>
      <w:r>
        <w:rPr>
          <w:color w:val="010202"/>
        </w:rPr>
        <w:t>with</w:t>
      </w:r>
      <w:r>
        <w:rPr>
          <w:color w:val="010202"/>
          <w:spacing w:val="-2"/>
        </w:rPr>
        <w:t xml:space="preserve"> </w:t>
      </w:r>
      <w:r>
        <w:rPr>
          <w:color w:val="010202"/>
        </w:rPr>
        <w:t>a</w:t>
      </w:r>
      <w:r>
        <w:rPr>
          <w:color w:val="010202"/>
          <w:spacing w:val="-2"/>
        </w:rPr>
        <w:t xml:space="preserve"> </w:t>
      </w:r>
      <w:r>
        <w:rPr>
          <w:color w:val="010202"/>
        </w:rPr>
        <w:t>service</w:t>
      </w:r>
      <w:r>
        <w:rPr>
          <w:color w:val="010202"/>
          <w:spacing w:val="-1"/>
        </w:rPr>
        <w:t xml:space="preserve"> </w:t>
      </w:r>
      <w:r>
        <w:rPr>
          <w:color w:val="010202"/>
        </w:rPr>
        <w:t>that</w:t>
      </w:r>
      <w:r>
        <w:rPr>
          <w:color w:val="010202"/>
          <w:spacing w:val="-1"/>
        </w:rPr>
        <w:t xml:space="preserve"> </w:t>
      </w:r>
      <w:r>
        <w:rPr>
          <w:color w:val="010202"/>
          <w:spacing w:val="-5"/>
        </w:rPr>
        <w:t>can</w:t>
      </w:r>
    </w:p>
    <w:p w14:paraId="3F14E8CB" w14:textId="77777777" w:rsidR="004C1D51" w:rsidRDefault="004C1D51" w:rsidP="004C1D51">
      <w:pPr>
        <w:pStyle w:val="BodyText"/>
        <w:spacing w:before="50"/>
        <w:ind w:left="113"/>
      </w:pPr>
      <w:r>
        <w:rPr>
          <w:color w:val="010202"/>
        </w:rPr>
        <w:t>help</w:t>
      </w:r>
      <w:r>
        <w:rPr>
          <w:color w:val="010202"/>
          <w:spacing w:val="-4"/>
        </w:rPr>
        <w:t xml:space="preserve"> </w:t>
      </w:r>
      <w:r>
        <w:rPr>
          <w:color w:val="010202"/>
        </w:rPr>
        <w:t>you.</w:t>
      </w:r>
      <w:r>
        <w:rPr>
          <w:color w:val="010202"/>
          <w:spacing w:val="-1"/>
        </w:rPr>
        <w:t xml:space="preserve"> </w:t>
      </w:r>
      <w:r>
        <w:rPr>
          <w:color w:val="010202"/>
        </w:rPr>
        <w:t>In</w:t>
      </w:r>
      <w:r>
        <w:rPr>
          <w:color w:val="010202"/>
          <w:spacing w:val="-1"/>
        </w:rPr>
        <w:t xml:space="preserve"> </w:t>
      </w:r>
      <w:r>
        <w:rPr>
          <w:color w:val="010202"/>
        </w:rPr>
        <w:t>some</w:t>
      </w:r>
      <w:r>
        <w:rPr>
          <w:color w:val="010202"/>
          <w:spacing w:val="-1"/>
        </w:rPr>
        <w:t xml:space="preserve"> </w:t>
      </w:r>
      <w:r>
        <w:rPr>
          <w:color w:val="010202"/>
        </w:rPr>
        <w:t>cases,</w:t>
      </w:r>
      <w:r>
        <w:rPr>
          <w:color w:val="010202"/>
          <w:spacing w:val="-1"/>
        </w:rPr>
        <w:t xml:space="preserve"> </w:t>
      </w:r>
      <w:r>
        <w:rPr>
          <w:color w:val="010202"/>
        </w:rPr>
        <w:t>we</w:t>
      </w:r>
      <w:r>
        <w:rPr>
          <w:color w:val="010202"/>
          <w:spacing w:val="-2"/>
        </w:rPr>
        <w:t xml:space="preserve"> </w:t>
      </w:r>
      <w:r>
        <w:rPr>
          <w:color w:val="010202"/>
        </w:rPr>
        <w:t>may</w:t>
      </w:r>
      <w:r>
        <w:rPr>
          <w:color w:val="010202"/>
          <w:spacing w:val="-1"/>
        </w:rPr>
        <w:t xml:space="preserve"> </w:t>
      </w:r>
      <w:r>
        <w:rPr>
          <w:color w:val="010202"/>
        </w:rPr>
        <w:t>be</w:t>
      </w:r>
      <w:r>
        <w:rPr>
          <w:color w:val="010202"/>
          <w:spacing w:val="-1"/>
        </w:rPr>
        <w:t xml:space="preserve"> </w:t>
      </w:r>
      <w:r>
        <w:rPr>
          <w:color w:val="010202"/>
        </w:rPr>
        <w:t>able</w:t>
      </w:r>
      <w:r>
        <w:rPr>
          <w:color w:val="010202"/>
          <w:spacing w:val="-2"/>
        </w:rPr>
        <w:t xml:space="preserve"> </w:t>
      </w:r>
      <w:r>
        <w:rPr>
          <w:color w:val="010202"/>
        </w:rPr>
        <w:t>to</w:t>
      </w:r>
      <w:r>
        <w:rPr>
          <w:color w:val="010202"/>
          <w:spacing w:val="-1"/>
        </w:rPr>
        <w:t xml:space="preserve"> </w:t>
      </w:r>
      <w:r>
        <w:rPr>
          <w:color w:val="010202"/>
        </w:rPr>
        <w:t>help</w:t>
      </w:r>
      <w:r>
        <w:rPr>
          <w:color w:val="010202"/>
          <w:spacing w:val="-2"/>
        </w:rPr>
        <w:t xml:space="preserve"> </w:t>
      </w:r>
      <w:r>
        <w:rPr>
          <w:color w:val="010202"/>
        </w:rPr>
        <w:t>you</w:t>
      </w:r>
      <w:r>
        <w:rPr>
          <w:color w:val="010202"/>
          <w:spacing w:val="-1"/>
        </w:rPr>
        <w:t xml:space="preserve"> </w:t>
      </w:r>
      <w:r>
        <w:rPr>
          <w:color w:val="010202"/>
        </w:rPr>
        <w:t>fill</w:t>
      </w:r>
      <w:r>
        <w:rPr>
          <w:color w:val="010202"/>
          <w:spacing w:val="-1"/>
        </w:rPr>
        <w:t xml:space="preserve"> </w:t>
      </w:r>
      <w:r>
        <w:rPr>
          <w:color w:val="010202"/>
        </w:rPr>
        <w:t>out</w:t>
      </w:r>
      <w:r>
        <w:rPr>
          <w:color w:val="010202"/>
          <w:spacing w:val="-2"/>
        </w:rPr>
        <w:t xml:space="preserve"> </w:t>
      </w:r>
      <w:r>
        <w:rPr>
          <w:color w:val="010202"/>
        </w:rPr>
        <w:t xml:space="preserve">the </w:t>
      </w:r>
      <w:r>
        <w:rPr>
          <w:color w:val="010202"/>
          <w:spacing w:val="-2"/>
        </w:rPr>
        <w:t>form.</w:t>
      </w:r>
    </w:p>
    <w:p w14:paraId="2033827F" w14:textId="77777777" w:rsidR="004C1D51" w:rsidRDefault="004C1D51" w:rsidP="004C1D51">
      <w:pPr>
        <w:pStyle w:val="BodyText"/>
        <w:spacing w:before="1"/>
        <w:rPr>
          <w:sz w:val="19"/>
        </w:rPr>
      </w:pPr>
    </w:p>
    <w:p w14:paraId="7322184D" w14:textId="77777777" w:rsidR="004C1D51" w:rsidRDefault="004C1D51" w:rsidP="004C1D51">
      <w:pPr>
        <w:pStyle w:val="BodyText"/>
        <w:ind w:left="113"/>
      </w:pPr>
      <w:r>
        <w:rPr>
          <w:color w:val="010202"/>
        </w:rPr>
        <w:t>If</w:t>
      </w:r>
      <w:r>
        <w:rPr>
          <w:color w:val="010202"/>
          <w:spacing w:val="-3"/>
        </w:rPr>
        <w:t xml:space="preserve"> </w:t>
      </w:r>
      <w:r>
        <w:rPr>
          <w:color w:val="010202"/>
        </w:rPr>
        <w:t>you</w:t>
      </w:r>
      <w:r>
        <w:rPr>
          <w:color w:val="010202"/>
          <w:spacing w:val="-2"/>
        </w:rPr>
        <w:t xml:space="preserve"> </w:t>
      </w:r>
      <w:r>
        <w:rPr>
          <w:color w:val="010202"/>
        </w:rPr>
        <w:t>have</w:t>
      </w:r>
      <w:r>
        <w:rPr>
          <w:color w:val="010202"/>
          <w:spacing w:val="-4"/>
        </w:rPr>
        <w:t xml:space="preserve"> </w:t>
      </w:r>
      <w:r>
        <w:rPr>
          <w:color w:val="010202"/>
        </w:rPr>
        <w:t>difficulty</w:t>
      </w:r>
      <w:r>
        <w:rPr>
          <w:color w:val="010202"/>
          <w:spacing w:val="-3"/>
        </w:rPr>
        <w:t xml:space="preserve"> </w:t>
      </w:r>
      <w:r>
        <w:rPr>
          <w:color w:val="010202"/>
        </w:rPr>
        <w:t>writing</w:t>
      </w:r>
      <w:r>
        <w:rPr>
          <w:color w:val="010202"/>
          <w:spacing w:val="-3"/>
        </w:rPr>
        <w:t xml:space="preserve"> </w:t>
      </w:r>
      <w:r>
        <w:rPr>
          <w:color w:val="010202"/>
        </w:rPr>
        <w:t>your</w:t>
      </w:r>
      <w:r>
        <w:rPr>
          <w:color w:val="010202"/>
          <w:spacing w:val="-3"/>
        </w:rPr>
        <w:t xml:space="preserve"> </w:t>
      </w:r>
      <w:r>
        <w:rPr>
          <w:color w:val="010202"/>
        </w:rPr>
        <w:t>complaint</w:t>
      </w:r>
      <w:r>
        <w:rPr>
          <w:color w:val="010202"/>
          <w:spacing w:val="-2"/>
        </w:rPr>
        <w:t xml:space="preserve"> </w:t>
      </w:r>
      <w:r>
        <w:rPr>
          <w:color w:val="010202"/>
        </w:rPr>
        <w:t>in</w:t>
      </w:r>
      <w:r>
        <w:rPr>
          <w:color w:val="010202"/>
          <w:spacing w:val="-4"/>
        </w:rPr>
        <w:t xml:space="preserve"> </w:t>
      </w:r>
      <w:r>
        <w:rPr>
          <w:color w:val="010202"/>
        </w:rPr>
        <w:t>English,</w:t>
      </w:r>
      <w:r>
        <w:rPr>
          <w:color w:val="010202"/>
          <w:spacing w:val="-2"/>
        </w:rPr>
        <w:t xml:space="preserve"> </w:t>
      </w:r>
      <w:r>
        <w:rPr>
          <w:color w:val="010202"/>
        </w:rPr>
        <w:t>your</w:t>
      </w:r>
      <w:r>
        <w:rPr>
          <w:color w:val="010202"/>
          <w:spacing w:val="-2"/>
        </w:rPr>
        <w:t xml:space="preserve"> </w:t>
      </w:r>
      <w:r>
        <w:rPr>
          <w:color w:val="010202"/>
        </w:rPr>
        <w:t>complaint</w:t>
      </w:r>
      <w:r>
        <w:rPr>
          <w:color w:val="010202"/>
          <w:spacing w:val="-3"/>
        </w:rPr>
        <w:t xml:space="preserve"> </w:t>
      </w:r>
      <w:r>
        <w:rPr>
          <w:color w:val="010202"/>
        </w:rPr>
        <w:t>can</w:t>
      </w:r>
      <w:r>
        <w:rPr>
          <w:color w:val="010202"/>
          <w:spacing w:val="-2"/>
        </w:rPr>
        <w:t xml:space="preserve"> </w:t>
      </w:r>
      <w:r>
        <w:rPr>
          <w:color w:val="010202"/>
        </w:rPr>
        <w:t>be</w:t>
      </w:r>
      <w:r>
        <w:rPr>
          <w:color w:val="010202"/>
          <w:spacing w:val="-4"/>
        </w:rPr>
        <w:t xml:space="preserve"> </w:t>
      </w:r>
      <w:r>
        <w:rPr>
          <w:color w:val="010202"/>
        </w:rPr>
        <w:t>in</w:t>
      </w:r>
      <w:r>
        <w:rPr>
          <w:color w:val="010202"/>
          <w:spacing w:val="-3"/>
        </w:rPr>
        <w:t xml:space="preserve"> </w:t>
      </w:r>
      <w:r>
        <w:rPr>
          <w:color w:val="010202"/>
        </w:rPr>
        <w:t>any</w:t>
      </w:r>
      <w:r>
        <w:rPr>
          <w:color w:val="010202"/>
          <w:spacing w:val="-3"/>
        </w:rPr>
        <w:t xml:space="preserve"> </w:t>
      </w:r>
      <w:r>
        <w:rPr>
          <w:color w:val="010202"/>
        </w:rPr>
        <w:t>language,</w:t>
      </w:r>
      <w:r>
        <w:rPr>
          <w:color w:val="010202"/>
          <w:spacing w:val="-4"/>
        </w:rPr>
        <w:t xml:space="preserve"> </w:t>
      </w:r>
      <w:r>
        <w:rPr>
          <w:color w:val="010202"/>
          <w:spacing w:val="-5"/>
        </w:rPr>
        <w:t>as</w:t>
      </w:r>
    </w:p>
    <w:p w14:paraId="104FD199" w14:textId="77EC85C9" w:rsidR="004C1D51" w:rsidRDefault="004C1D51" w:rsidP="0047630B">
      <w:pPr>
        <w:pStyle w:val="BodyText"/>
        <w:spacing w:before="50"/>
        <w:ind w:left="113"/>
        <w:sectPr w:rsidR="004C1D51" w:rsidSect="0047630B">
          <w:pgSz w:w="11910" w:h="16840"/>
          <w:pgMar w:top="568" w:right="1680" w:bottom="740" w:left="1020" w:header="0" w:footer="548" w:gutter="0"/>
          <w:cols w:space="720"/>
        </w:sectPr>
      </w:pPr>
      <w:r>
        <w:rPr>
          <w:color w:val="010202"/>
        </w:rPr>
        <w:t>we</w:t>
      </w:r>
      <w:r>
        <w:rPr>
          <w:color w:val="010202"/>
          <w:spacing w:val="-3"/>
        </w:rPr>
        <w:t xml:space="preserve"> </w:t>
      </w:r>
      <w:r>
        <w:rPr>
          <w:color w:val="010202"/>
        </w:rPr>
        <w:t>use</w:t>
      </w:r>
      <w:r>
        <w:rPr>
          <w:color w:val="010202"/>
          <w:spacing w:val="-3"/>
        </w:rPr>
        <w:t xml:space="preserve"> </w:t>
      </w:r>
      <w:r>
        <w:rPr>
          <w:color w:val="010202"/>
        </w:rPr>
        <w:t>translators</w:t>
      </w:r>
      <w:r>
        <w:rPr>
          <w:color w:val="010202"/>
          <w:spacing w:val="-2"/>
        </w:rPr>
        <w:t xml:space="preserve"> </w:t>
      </w:r>
      <w:r>
        <w:rPr>
          <w:color w:val="010202"/>
        </w:rPr>
        <w:t>where</w:t>
      </w:r>
      <w:r>
        <w:rPr>
          <w:color w:val="010202"/>
          <w:spacing w:val="-2"/>
        </w:rPr>
        <w:t xml:space="preserve"> needed.</w:t>
      </w:r>
    </w:p>
    <w:p w14:paraId="25FCBD83" w14:textId="2EEEEABE" w:rsidR="004C1D51" w:rsidRPr="0047630B" w:rsidRDefault="004C1D51" w:rsidP="0047630B">
      <w:pPr>
        <w:pStyle w:val="BodyText"/>
      </w:pPr>
    </w:p>
    <w:p w14:paraId="6BFF07BB" w14:textId="77777777" w:rsidR="004C1D51" w:rsidRDefault="004C1D51" w:rsidP="004C1D51">
      <w:pPr>
        <w:pStyle w:val="Heading1"/>
        <w:spacing w:before="89"/>
      </w:pPr>
      <w:bookmarkStart w:id="202" w:name="_Toc131144725"/>
      <w:r>
        <w:rPr>
          <w:color w:val="347A9F"/>
        </w:rPr>
        <w:t>Do</w:t>
      </w:r>
      <w:r>
        <w:rPr>
          <w:color w:val="347A9F"/>
          <w:spacing w:val="-2"/>
        </w:rPr>
        <w:t xml:space="preserve"> </w:t>
      </w:r>
      <w:r>
        <w:rPr>
          <w:color w:val="347A9F"/>
        </w:rPr>
        <w:t>I</w:t>
      </w:r>
      <w:r>
        <w:rPr>
          <w:color w:val="347A9F"/>
          <w:spacing w:val="-1"/>
        </w:rPr>
        <w:t xml:space="preserve"> </w:t>
      </w:r>
      <w:r>
        <w:rPr>
          <w:color w:val="347A9F"/>
        </w:rPr>
        <w:t>need</w:t>
      </w:r>
      <w:r>
        <w:rPr>
          <w:color w:val="347A9F"/>
          <w:spacing w:val="-2"/>
        </w:rPr>
        <w:t xml:space="preserve"> </w:t>
      </w:r>
      <w:r>
        <w:rPr>
          <w:color w:val="347A9F"/>
        </w:rPr>
        <w:t>a</w:t>
      </w:r>
      <w:r>
        <w:rPr>
          <w:color w:val="347A9F"/>
          <w:spacing w:val="-2"/>
        </w:rPr>
        <w:t xml:space="preserve"> lawyer?</w:t>
      </w:r>
      <w:bookmarkEnd w:id="202"/>
    </w:p>
    <w:p w14:paraId="31D8732A" w14:textId="77777777" w:rsidR="004C1D51" w:rsidRDefault="004C1D51" w:rsidP="004C1D51">
      <w:pPr>
        <w:pStyle w:val="BodyText"/>
        <w:spacing w:before="186" w:line="290" w:lineRule="auto"/>
        <w:ind w:left="113" w:right="380"/>
      </w:pPr>
      <w:r>
        <w:rPr>
          <w:color w:val="010202"/>
        </w:rPr>
        <w:t>We</w:t>
      </w:r>
      <w:r>
        <w:rPr>
          <w:color w:val="010202"/>
          <w:spacing w:val="-3"/>
        </w:rPr>
        <w:t xml:space="preserve"> </w:t>
      </w:r>
      <w:r>
        <w:rPr>
          <w:color w:val="010202"/>
        </w:rPr>
        <w:t>can</w:t>
      </w:r>
      <w:r>
        <w:rPr>
          <w:color w:val="010202"/>
          <w:spacing w:val="-2"/>
        </w:rPr>
        <w:t xml:space="preserve"> </w:t>
      </w:r>
      <w:r>
        <w:rPr>
          <w:color w:val="010202"/>
        </w:rPr>
        <w:t>help</w:t>
      </w:r>
      <w:r>
        <w:rPr>
          <w:color w:val="010202"/>
          <w:spacing w:val="-3"/>
        </w:rPr>
        <w:t xml:space="preserve"> </w:t>
      </w:r>
      <w:r>
        <w:rPr>
          <w:color w:val="010202"/>
        </w:rPr>
        <w:t>you</w:t>
      </w:r>
      <w:r>
        <w:rPr>
          <w:color w:val="010202"/>
          <w:spacing w:val="-2"/>
        </w:rPr>
        <w:t xml:space="preserve"> </w:t>
      </w:r>
      <w:r>
        <w:rPr>
          <w:color w:val="010202"/>
        </w:rPr>
        <w:t>with</w:t>
      </w:r>
      <w:r>
        <w:rPr>
          <w:color w:val="010202"/>
          <w:spacing w:val="-3"/>
        </w:rPr>
        <w:t xml:space="preserve"> </w:t>
      </w:r>
      <w:r>
        <w:rPr>
          <w:color w:val="010202"/>
        </w:rPr>
        <w:t>information</w:t>
      </w:r>
      <w:r>
        <w:rPr>
          <w:color w:val="010202"/>
          <w:spacing w:val="-3"/>
        </w:rPr>
        <w:t xml:space="preserve"> </w:t>
      </w:r>
      <w:r>
        <w:rPr>
          <w:color w:val="010202"/>
        </w:rPr>
        <w:t>about</w:t>
      </w:r>
      <w:r>
        <w:rPr>
          <w:color w:val="010202"/>
          <w:spacing w:val="-3"/>
        </w:rPr>
        <w:t xml:space="preserve"> </w:t>
      </w:r>
      <w:r>
        <w:rPr>
          <w:color w:val="010202"/>
        </w:rPr>
        <w:t>your</w:t>
      </w:r>
      <w:r>
        <w:rPr>
          <w:color w:val="010202"/>
          <w:spacing w:val="-2"/>
        </w:rPr>
        <w:t xml:space="preserve"> </w:t>
      </w:r>
      <w:r>
        <w:rPr>
          <w:color w:val="010202"/>
        </w:rPr>
        <w:t>rights</w:t>
      </w:r>
      <w:r>
        <w:rPr>
          <w:color w:val="010202"/>
          <w:spacing w:val="-2"/>
        </w:rPr>
        <w:t xml:space="preserve"> </w:t>
      </w:r>
      <w:r>
        <w:rPr>
          <w:color w:val="010202"/>
        </w:rPr>
        <w:t>and</w:t>
      </w:r>
      <w:r>
        <w:rPr>
          <w:color w:val="010202"/>
          <w:spacing w:val="-3"/>
        </w:rPr>
        <w:t xml:space="preserve"> </w:t>
      </w:r>
      <w:r>
        <w:rPr>
          <w:color w:val="010202"/>
        </w:rPr>
        <w:t>what</w:t>
      </w:r>
      <w:r>
        <w:rPr>
          <w:color w:val="010202"/>
          <w:spacing w:val="-3"/>
        </w:rPr>
        <w:t xml:space="preserve"> </w:t>
      </w:r>
      <w:r>
        <w:rPr>
          <w:color w:val="010202"/>
        </w:rPr>
        <w:t>the</w:t>
      </w:r>
      <w:r>
        <w:rPr>
          <w:color w:val="010202"/>
          <w:spacing w:val="-2"/>
        </w:rPr>
        <w:t xml:space="preserve"> </w:t>
      </w:r>
      <w:r>
        <w:rPr>
          <w:color w:val="010202"/>
        </w:rPr>
        <w:t>law</w:t>
      </w:r>
      <w:r>
        <w:rPr>
          <w:color w:val="010202"/>
          <w:spacing w:val="-3"/>
        </w:rPr>
        <w:t xml:space="preserve"> </w:t>
      </w:r>
      <w:r>
        <w:rPr>
          <w:color w:val="010202"/>
        </w:rPr>
        <w:t>says,</w:t>
      </w:r>
      <w:r>
        <w:rPr>
          <w:color w:val="010202"/>
          <w:spacing w:val="-2"/>
        </w:rPr>
        <w:t xml:space="preserve"> </w:t>
      </w:r>
      <w:r>
        <w:rPr>
          <w:color w:val="010202"/>
        </w:rPr>
        <w:t>but</w:t>
      </w:r>
      <w:r>
        <w:rPr>
          <w:color w:val="010202"/>
          <w:spacing w:val="-3"/>
        </w:rPr>
        <w:t xml:space="preserve"> </w:t>
      </w:r>
      <w:r>
        <w:rPr>
          <w:color w:val="010202"/>
        </w:rPr>
        <w:t>we</w:t>
      </w:r>
      <w:r>
        <w:rPr>
          <w:color w:val="010202"/>
          <w:spacing w:val="-3"/>
        </w:rPr>
        <w:t xml:space="preserve"> </w:t>
      </w:r>
      <w:r>
        <w:rPr>
          <w:color w:val="010202"/>
        </w:rPr>
        <w:t>can’t</w:t>
      </w:r>
      <w:r>
        <w:rPr>
          <w:color w:val="010202"/>
          <w:spacing w:val="-2"/>
        </w:rPr>
        <w:t xml:space="preserve"> </w:t>
      </w:r>
      <w:r>
        <w:rPr>
          <w:color w:val="010202"/>
        </w:rPr>
        <w:t>give</w:t>
      </w:r>
      <w:r>
        <w:rPr>
          <w:color w:val="010202"/>
          <w:spacing w:val="-3"/>
        </w:rPr>
        <w:t xml:space="preserve"> </w:t>
      </w:r>
      <w:r>
        <w:rPr>
          <w:color w:val="010202"/>
        </w:rPr>
        <w:t>you advice about your complaint or advocate on your behalf.</w:t>
      </w:r>
    </w:p>
    <w:p w14:paraId="57C6F131" w14:textId="77777777" w:rsidR="004C1D51" w:rsidRDefault="004C1D51" w:rsidP="004C1D51">
      <w:pPr>
        <w:pStyle w:val="BodyText"/>
        <w:spacing w:before="169"/>
        <w:ind w:left="113"/>
      </w:pPr>
      <w:r>
        <w:rPr>
          <w:color w:val="010202"/>
        </w:rPr>
        <w:t>You</w:t>
      </w:r>
      <w:r>
        <w:rPr>
          <w:color w:val="010202"/>
          <w:spacing w:val="-6"/>
        </w:rPr>
        <w:t xml:space="preserve"> </w:t>
      </w:r>
      <w:r>
        <w:rPr>
          <w:color w:val="010202"/>
        </w:rPr>
        <w:t>don’t</w:t>
      </w:r>
      <w:r>
        <w:rPr>
          <w:color w:val="010202"/>
          <w:spacing w:val="-4"/>
        </w:rPr>
        <w:t xml:space="preserve"> </w:t>
      </w:r>
      <w:r>
        <w:rPr>
          <w:color w:val="010202"/>
        </w:rPr>
        <w:t>need</w:t>
      </w:r>
      <w:r>
        <w:rPr>
          <w:color w:val="010202"/>
          <w:spacing w:val="-4"/>
        </w:rPr>
        <w:t xml:space="preserve"> </w:t>
      </w:r>
      <w:r>
        <w:rPr>
          <w:color w:val="010202"/>
        </w:rPr>
        <w:t>a</w:t>
      </w:r>
      <w:r>
        <w:rPr>
          <w:color w:val="010202"/>
          <w:spacing w:val="-4"/>
        </w:rPr>
        <w:t xml:space="preserve"> </w:t>
      </w:r>
      <w:r>
        <w:rPr>
          <w:color w:val="010202"/>
        </w:rPr>
        <w:t>lawyer</w:t>
      </w:r>
      <w:r>
        <w:rPr>
          <w:color w:val="010202"/>
          <w:spacing w:val="-4"/>
        </w:rPr>
        <w:t xml:space="preserve"> </w:t>
      </w:r>
      <w:r>
        <w:rPr>
          <w:color w:val="010202"/>
        </w:rPr>
        <w:t>to</w:t>
      </w:r>
      <w:r>
        <w:rPr>
          <w:color w:val="010202"/>
          <w:spacing w:val="-3"/>
        </w:rPr>
        <w:t xml:space="preserve"> </w:t>
      </w:r>
      <w:r>
        <w:rPr>
          <w:color w:val="010202"/>
        </w:rPr>
        <w:t>make</w:t>
      </w:r>
      <w:r>
        <w:rPr>
          <w:color w:val="010202"/>
          <w:spacing w:val="-3"/>
        </w:rPr>
        <w:t xml:space="preserve"> </w:t>
      </w:r>
      <w:r>
        <w:rPr>
          <w:color w:val="010202"/>
        </w:rPr>
        <w:t>a</w:t>
      </w:r>
      <w:r>
        <w:rPr>
          <w:color w:val="010202"/>
          <w:spacing w:val="-3"/>
        </w:rPr>
        <w:t xml:space="preserve"> </w:t>
      </w:r>
      <w:r>
        <w:rPr>
          <w:color w:val="010202"/>
        </w:rPr>
        <w:t>complaint,</w:t>
      </w:r>
      <w:r>
        <w:rPr>
          <w:color w:val="010202"/>
          <w:spacing w:val="-3"/>
        </w:rPr>
        <w:t xml:space="preserve"> </w:t>
      </w:r>
      <w:r>
        <w:rPr>
          <w:color w:val="010202"/>
        </w:rPr>
        <w:t>or</w:t>
      </w:r>
      <w:r>
        <w:rPr>
          <w:color w:val="010202"/>
          <w:spacing w:val="-4"/>
        </w:rPr>
        <w:t xml:space="preserve"> </w:t>
      </w:r>
      <w:r>
        <w:rPr>
          <w:color w:val="010202"/>
        </w:rPr>
        <w:t>participate</w:t>
      </w:r>
      <w:r>
        <w:rPr>
          <w:color w:val="010202"/>
          <w:spacing w:val="-4"/>
        </w:rPr>
        <w:t xml:space="preserve"> </w:t>
      </w:r>
      <w:r>
        <w:rPr>
          <w:color w:val="010202"/>
        </w:rPr>
        <w:t>in</w:t>
      </w:r>
      <w:r>
        <w:rPr>
          <w:color w:val="010202"/>
          <w:spacing w:val="-4"/>
        </w:rPr>
        <w:t xml:space="preserve"> </w:t>
      </w:r>
      <w:r>
        <w:rPr>
          <w:color w:val="010202"/>
        </w:rPr>
        <w:t>a</w:t>
      </w:r>
      <w:r>
        <w:rPr>
          <w:color w:val="010202"/>
          <w:spacing w:val="-4"/>
        </w:rPr>
        <w:t xml:space="preserve"> </w:t>
      </w:r>
      <w:r>
        <w:rPr>
          <w:color w:val="010202"/>
        </w:rPr>
        <w:t>conciliation</w:t>
      </w:r>
      <w:r>
        <w:rPr>
          <w:color w:val="010202"/>
          <w:spacing w:val="-3"/>
        </w:rPr>
        <w:t xml:space="preserve"> </w:t>
      </w:r>
      <w:r>
        <w:rPr>
          <w:color w:val="010202"/>
        </w:rPr>
        <w:t>conference,</w:t>
      </w:r>
      <w:r>
        <w:rPr>
          <w:color w:val="010202"/>
          <w:spacing w:val="-3"/>
        </w:rPr>
        <w:t xml:space="preserve"> </w:t>
      </w:r>
      <w:r>
        <w:rPr>
          <w:color w:val="010202"/>
        </w:rPr>
        <w:t>but</w:t>
      </w:r>
      <w:r>
        <w:rPr>
          <w:color w:val="010202"/>
          <w:spacing w:val="-3"/>
        </w:rPr>
        <w:t xml:space="preserve"> </w:t>
      </w:r>
      <w:r>
        <w:rPr>
          <w:color w:val="010202"/>
          <w:spacing w:val="-4"/>
        </w:rPr>
        <w:t>some</w:t>
      </w:r>
    </w:p>
    <w:p w14:paraId="061FC3F7" w14:textId="77777777" w:rsidR="004C1D51" w:rsidRDefault="004C1D51" w:rsidP="004C1D51">
      <w:pPr>
        <w:pStyle w:val="BodyText"/>
        <w:spacing w:before="50"/>
        <w:ind w:left="113"/>
      </w:pPr>
      <w:r>
        <w:rPr>
          <w:color w:val="010202"/>
        </w:rPr>
        <w:t>people</w:t>
      </w:r>
      <w:r>
        <w:rPr>
          <w:color w:val="010202"/>
          <w:spacing w:val="-4"/>
        </w:rPr>
        <w:t xml:space="preserve"> </w:t>
      </w:r>
      <w:r>
        <w:rPr>
          <w:color w:val="010202"/>
        </w:rPr>
        <w:t>find</w:t>
      </w:r>
      <w:r>
        <w:rPr>
          <w:color w:val="010202"/>
          <w:spacing w:val="-3"/>
        </w:rPr>
        <w:t xml:space="preserve"> </w:t>
      </w:r>
      <w:r>
        <w:rPr>
          <w:color w:val="010202"/>
        </w:rPr>
        <w:t>it</w:t>
      </w:r>
      <w:r>
        <w:rPr>
          <w:color w:val="010202"/>
          <w:spacing w:val="-3"/>
        </w:rPr>
        <w:t xml:space="preserve"> </w:t>
      </w:r>
      <w:r>
        <w:rPr>
          <w:color w:val="010202"/>
        </w:rPr>
        <w:t>useful</w:t>
      </w:r>
      <w:r>
        <w:rPr>
          <w:color w:val="010202"/>
          <w:spacing w:val="-4"/>
        </w:rPr>
        <w:t xml:space="preserve"> </w:t>
      </w:r>
      <w:r>
        <w:rPr>
          <w:color w:val="010202"/>
        </w:rPr>
        <w:t>to</w:t>
      </w:r>
      <w:r>
        <w:rPr>
          <w:color w:val="010202"/>
          <w:spacing w:val="-3"/>
        </w:rPr>
        <w:t xml:space="preserve"> </w:t>
      </w:r>
      <w:r>
        <w:rPr>
          <w:color w:val="010202"/>
        </w:rPr>
        <w:t>get</w:t>
      </w:r>
      <w:r>
        <w:rPr>
          <w:color w:val="010202"/>
          <w:spacing w:val="-3"/>
        </w:rPr>
        <w:t xml:space="preserve"> </w:t>
      </w:r>
      <w:r>
        <w:rPr>
          <w:color w:val="010202"/>
        </w:rPr>
        <w:t>legal</w:t>
      </w:r>
      <w:r>
        <w:rPr>
          <w:color w:val="010202"/>
          <w:spacing w:val="-4"/>
        </w:rPr>
        <w:t xml:space="preserve"> </w:t>
      </w:r>
      <w:r>
        <w:rPr>
          <w:color w:val="010202"/>
        </w:rPr>
        <w:t>advice</w:t>
      </w:r>
      <w:r>
        <w:rPr>
          <w:color w:val="010202"/>
          <w:spacing w:val="-3"/>
        </w:rPr>
        <w:t xml:space="preserve"> </w:t>
      </w:r>
      <w:r>
        <w:rPr>
          <w:color w:val="010202"/>
        </w:rPr>
        <w:t>about</w:t>
      </w:r>
      <w:r>
        <w:rPr>
          <w:color w:val="010202"/>
          <w:spacing w:val="-4"/>
        </w:rPr>
        <w:t xml:space="preserve"> </w:t>
      </w:r>
      <w:r>
        <w:rPr>
          <w:color w:val="010202"/>
        </w:rPr>
        <w:t>their</w:t>
      </w:r>
      <w:r>
        <w:rPr>
          <w:color w:val="010202"/>
          <w:spacing w:val="-2"/>
        </w:rPr>
        <w:t xml:space="preserve"> complaint.</w:t>
      </w:r>
    </w:p>
    <w:p w14:paraId="0BAD8212" w14:textId="77777777" w:rsidR="004C1D51" w:rsidRDefault="004C1D51" w:rsidP="004C1D51">
      <w:pPr>
        <w:pStyle w:val="BodyText"/>
        <w:spacing w:before="1"/>
        <w:rPr>
          <w:sz w:val="19"/>
        </w:rPr>
      </w:pPr>
    </w:p>
    <w:p w14:paraId="1A63ADE1" w14:textId="77777777" w:rsidR="004C1D51" w:rsidRDefault="004C1D51" w:rsidP="004C1D51">
      <w:pPr>
        <w:pStyle w:val="BodyText"/>
        <w:spacing w:before="1"/>
        <w:ind w:left="113"/>
      </w:pPr>
      <w:r>
        <w:rPr>
          <w:color w:val="010202"/>
        </w:rPr>
        <w:t>Things</w:t>
      </w:r>
      <w:r>
        <w:rPr>
          <w:color w:val="010202"/>
          <w:spacing w:val="-2"/>
        </w:rPr>
        <w:t xml:space="preserve"> </w:t>
      </w:r>
      <w:r>
        <w:rPr>
          <w:color w:val="010202"/>
        </w:rPr>
        <w:t>you</w:t>
      </w:r>
      <w:r>
        <w:rPr>
          <w:color w:val="010202"/>
          <w:spacing w:val="-2"/>
        </w:rPr>
        <w:t xml:space="preserve"> </w:t>
      </w:r>
      <w:r>
        <w:rPr>
          <w:color w:val="010202"/>
        </w:rPr>
        <w:t>might</w:t>
      </w:r>
      <w:r>
        <w:rPr>
          <w:color w:val="010202"/>
          <w:spacing w:val="-2"/>
        </w:rPr>
        <w:t xml:space="preserve"> </w:t>
      </w:r>
      <w:r>
        <w:rPr>
          <w:color w:val="010202"/>
        </w:rPr>
        <w:t>consult</w:t>
      </w:r>
      <w:r>
        <w:rPr>
          <w:color w:val="010202"/>
          <w:spacing w:val="-2"/>
        </w:rPr>
        <w:t xml:space="preserve"> </w:t>
      </w:r>
      <w:r>
        <w:rPr>
          <w:color w:val="010202"/>
        </w:rPr>
        <w:t>a</w:t>
      </w:r>
      <w:r>
        <w:rPr>
          <w:color w:val="010202"/>
          <w:spacing w:val="-3"/>
        </w:rPr>
        <w:t xml:space="preserve"> </w:t>
      </w:r>
      <w:r>
        <w:rPr>
          <w:color w:val="010202"/>
        </w:rPr>
        <w:t>lawyer</w:t>
      </w:r>
      <w:r>
        <w:rPr>
          <w:color w:val="010202"/>
          <w:spacing w:val="-3"/>
        </w:rPr>
        <w:t xml:space="preserve"> </w:t>
      </w:r>
      <w:r>
        <w:rPr>
          <w:color w:val="010202"/>
        </w:rPr>
        <w:t>about</w:t>
      </w:r>
      <w:r>
        <w:rPr>
          <w:color w:val="010202"/>
          <w:spacing w:val="-3"/>
        </w:rPr>
        <w:t xml:space="preserve"> </w:t>
      </w:r>
      <w:r>
        <w:rPr>
          <w:color w:val="010202"/>
        </w:rPr>
        <w:t>are</w:t>
      </w:r>
      <w:r>
        <w:rPr>
          <w:color w:val="010202"/>
          <w:spacing w:val="-3"/>
        </w:rPr>
        <w:t xml:space="preserve"> </w:t>
      </w:r>
      <w:r>
        <w:rPr>
          <w:color w:val="010202"/>
        </w:rPr>
        <w:t>if</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fits</w:t>
      </w:r>
      <w:r>
        <w:rPr>
          <w:color w:val="010202"/>
          <w:spacing w:val="-2"/>
        </w:rPr>
        <w:t xml:space="preserve"> </w:t>
      </w:r>
      <w:r>
        <w:rPr>
          <w:color w:val="010202"/>
        </w:rPr>
        <w:t>under</w:t>
      </w:r>
      <w:r>
        <w:rPr>
          <w:color w:val="010202"/>
          <w:spacing w:val="-3"/>
        </w:rPr>
        <w:t xml:space="preserve"> </w:t>
      </w:r>
      <w:r>
        <w:rPr>
          <w:color w:val="010202"/>
        </w:rPr>
        <w:t>the</w:t>
      </w:r>
      <w:r>
        <w:rPr>
          <w:color w:val="010202"/>
          <w:spacing w:val="-2"/>
        </w:rPr>
        <w:t xml:space="preserve"> </w:t>
      </w:r>
      <w:r>
        <w:rPr>
          <w:color w:val="010202"/>
        </w:rPr>
        <w:t>law,</w:t>
      </w:r>
      <w:r>
        <w:rPr>
          <w:color w:val="010202"/>
          <w:spacing w:val="-2"/>
        </w:rPr>
        <w:t xml:space="preserve"> </w:t>
      </w:r>
      <w:r>
        <w:rPr>
          <w:color w:val="010202"/>
        </w:rPr>
        <w:t>or</w:t>
      </w:r>
      <w:r>
        <w:rPr>
          <w:color w:val="010202"/>
          <w:spacing w:val="-3"/>
        </w:rPr>
        <w:t xml:space="preserve"> </w:t>
      </w:r>
      <w:r>
        <w:rPr>
          <w:color w:val="010202"/>
        </w:rPr>
        <w:t>what</w:t>
      </w:r>
      <w:r>
        <w:rPr>
          <w:color w:val="010202"/>
          <w:spacing w:val="-2"/>
        </w:rPr>
        <w:t xml:space="preserve"> outcomes</w:t>
      </w:r>
    </w:p>
    <w:p w14:paraId="7D125332" w14:textId="77777777" w:rsidR="004C1D51" w:rsidRDefault="004C1D51" w:rsidP="004C1D51">
      <w:pPr>
        <w:pStyle w:val="BodyText"/>
        <w:spacing w:before="50"/>
        <w:ind w:left="113"/>
      </w:pPr>
      <w:r>
        <w:rPr>
          <w:color w:val="010202"/>
        </w:rPr>
        <w:t xml:space="preserve">you can </w:t>
      </w:r>
      <w:r>
        <w:rPr>
          <w:color w:val="010202"/>
          <w:spacing w:val="-2"/>
        </w:rPr>
        <w:t>expect.</w:t>
      </w:r>
    </w:p>
    <w:p w14:paraId="430EA9CA" w14:textId="77777777" w:rsidR="004C1D51" w:rsidRDefault="004C1D51" w:rsidP="004C1D51">
      <w:pPr>
        <w:pStyle w:val="BodyText"/>
        <w:spacing w:before="1"/>
        <w:rPr>
          <w:sz w:val="19"/>
        </w:rPr>
      </w:pPr>
    </w:p>
    <w:p w14:paraId="24947158" w14:textId="77777777" w:rsidR="004C1D51" w:rsidRDefault="004C1D51" w:rsidP="004C1D51">
      <w:pPr>
        <w:pStyle w:val="BodyText"/>
        <w:spacing w:line="290" w:lineRule="auto"/>
        <w:ind w:left="113"/>
      </w:pPr>
      <w:r>
        <w:rPr>
          <w:color w:val="010202"/>
        </w:rPr>
        <w:t>A</w:t>
      </w:r>
      <w:r>
        <w:rPr>
          <w:color w:val="010202"/>
          <w:spacing w:val="-13"/>
        </w:rPr>
        <w:t xml:space="preserve"> </w:t>
      </w:r>
      <w:r>
        <w:rPr>
          <w:color w:val="010202"/>
        </w:rPr>
        <w:t>good</w:t>
      </w:r>
      <w:r>
        <w:rPr>
          <w:color w:val="010202"/>
          <w:spacing w:val="-3"/>
        </w:rPr>
        <w:t xml:space="preserve"> </w:t>
      </w:r>
      <w:r>
        <w:rPr>
          <w:color w:val="010202"/>
        </w:rPr>
        <w:t>place</w:t>
      </w:r>
      <w:r>
        <w:rPr>
          <w:color w:val="010202"/>
          <w:spacing w:val="-3"/>
        </w:rPr>
        <w:t xml:space="preserve"> </w:t>
      </w:r>
      <w:r>
        <w:rPr>
          <w:color w:val="010202"/>
        </w:rPr>
        <w:t>to</w:t>
      </w:r>
      <w:r>
        <w:rPr>
          <w:color w:val="010202"/>
          <w:spacing w:val="-2"/>
        </w:rPr>
        <w:t xml:space="preserve"> </w:t>
      </w:r>
      <w:r>
        <w:rPr>
          <w:color w:val="010202"/>
        </w:rPr>
        <w:t>start</w:t>
      </w:r>
      <w:r>
        <w:rPr>
          <w:color w:val="010202"/>
          <w:spacing w:val="-2"/>
        </w:rPr>
        <w:t xml:space="preserve"> </w:t>
      </w:r>
      <w:r>
        <w:rPr>
          <w:color w:val="010202"/>
        </w:rPr>
        <w:t>is</w:t>
      </w:r>
      <w:r>
        <w:rPr>
          <w:color w:val="010202"/>
          <w:spacing w:val="-3"/>
        </w:rPr>
        <w:t xml:space="preserve"> </w:t>
      </w:r>
      <w:r>
        <w:rPr>
          <w:color w:val="010202"/>
        </w:rPr>
        <w:t>to</w:t>
      </w:r>
      <w:r>
        <w:rPr>
          <w:color w:val="010202"/>
          <w:spacing w:val="-2"/>
        </w:rPr>
        <w:t xml:space="preserve"> </w:t>
      </w:r>
      <w:r>
        <w:rPr>
          <w:color w:val="010202"/>
        </w:rPr>
        <w:t>contact</w:t>
      </w:r>
      <w:r>
        <w:rPr>
          <w:color w:val="010202"/>
          <w:spacing w:val="-2"/>
        </w:rPr>
        <w:t xml:space="preserve"> </w:t>
      </w:r>
      <w:r>
        <w:rPr>
          <w:color w:val="010202"/>
        </w:rPr>
        <w:t>Legal</w:t>
      </w:r>
      <w:r>
        <w:rPr>
          <w:color w:val="010202"/>
          <w:spacing w:val="-13"/>
        </w:rPr>
        <w:t xml:space="preserve"> </w:t>
      </w:r>
      <w:r>
        <w:rPr>
          <w:color w:val="010202"/>
        </w:rPr>
        <w:t>Aid</w:t>
      </w:r>
      <w:r>
        <w:rPr>
          <w:color w:val="010202"/>
          <w:spacing w:val="-2"/>
        </w:rPr>
        <w:t xml:space="preserve"> </w:t>
      </w:r>
      <w:r>
        <w:rPr>
          <w:color w:val="010202"/>
        </w:rPr>
        <w:t>Queensland</w:t>
      </w:r>
      <w:r>
        <w:rPr>
          <w:color w:val="010202"/>
          <w:spacing w:val="-2"/>
        </w:rPr>
        <w:t xml:space="preserve"> </w:t>
      </w:r>
      <w:r>
        <w:rPr>
          <w:color w:val="010202"/>
        </w:rPr>
        <w:t>and</w:t>
      </w:r>
      <w:r>
        <w:rPr>
          <w:color w:val="010202"/>
          <w:spacing w:val="-3"/>
        </w:rPr>
        <w:t xml:space="preserve"> </w:t>
      </w:r>
      <w:r>
        <w:rPr>
          <w:color w:val="010202"/>
        </w:rPr>
        <w:t>ask</w:t>
      </w:r>
      <w:r>
        <w:rPr>
          <w:color w:val="010202"/>
          <w:spacing w:val="-3"/>
        </w:rPr>
        <w:t xml:space="preserve"> </w:t>
      </w:r>
      <w:r>
        <w:rPr>
          <w:color w:val="010202"/>
        </w:rPr>
        <w:t>to</w:t>
      </w:r>
      <w:r>
        <w:rPr>
          <w:color w:val="010202"/>
          <w:spacing w:val="-2"/>
        </w:rPr>
        <w:t xml:space="preserve"> </w:t>
      </w:r>
      <w:r>
        <w:rPr>
          <w:color w:val="010202"/>
        </w:rPr>
        <w:t>be</w:t>
      </w:r>
      <w:r>
        <w:rPr>
          <w:color w:val="010202"/>
          <w:spacing w:val="-3"/>
        </w:rPr>
        <w:t xml:space="preserve"> </w:t>
      </w:r>
      <w:r>
        <w:rPr>
          <w:color w:val="010202"/>
        </w:rPr>
        <w:t>booked</w:t>
      </w:r>
      <w:r>
        <w:rPr>
          <w:color w:val="010202"/>
          <w:spacing w:val="-3"/>
        </w:rPr>
        <w:t xml:space="preserve"> </w:t>
      </w:r>
      <w:r>
        <w:rPr>
          <w:color w:val="010202"/>
        </w:rPr>
        <w:t>into</w:t>
      </w:r>
      <w:r>
        <w:rPr>
          <w:color w:val="010202"/>
          <w:spacing w:val="-3"/>
        </w:rPr>
        <w:t xml:space="preserve"> </w:t>
      </w:r>
      <w:r>
        <w:rPr>
          <w:color w:val="010202"/>
        </w:rPr>
        <w:t>a</w:t>
      </w:r>
      <w:r>
        <w:rPr>
          <w:color w:val="010202"/>
          <w:spacing w:val="-3"/>
        </w:rPr>
        <w:t xml:space="preserve"> </w:t>
      </w:r>
      <w:r>
        <w:rPr>
          <w:color w:val="010202"/>
        </w:rPr>
        <w:t>Discrimination Advice Clinic.</w:t>
      </w:r>
    </w:p>
    <w:p w14:paraId="6DCCF0F7" w14:textId="77777777" w:rsidR="004C1D51" w:rsidRDefault="004C1D51" w:rsidP="004C1D51">
      <w:pPr>
        <w:pStyle w:val="BodyText"/>
        <w:spacing w:before="169" w:line="290" w:lineRule="auto"/>
        <w:ind w:left="113" w:right="380"/>
      </w:pPr>
      <w:r>
        <w:rPr>
          <w:color w:val="010202"/>
        </w:rPr>
        <w:t>Aboriginal and Torres Strait Islander people can also access a First Nations</w:t>
      </w:r>
      <w:r>
        <w:rPr>
          <w:color w:val="010202"/>
          <w:spacing w:val="-8"/>
        </w:rPr>
        <w:t xml:space="preserve"> </w:t>
      </w:r>
      <w:r>
        <w:rPr>
          <w:color w:val="010202"/>
        </w:rPr>
        <w:t>Advice Clinic through Legal</w:t>
      </w:r>
      <w:r>
        <w:rPr>
          <w:color w:val="010202"/>
          <w:spacing w:val="-13"/>
        </w:rPr>
        <w:t xml:space="preserve"> </w:t>
      </w:r>
      <w:r>
        <w:rPr>
          <w:color w:val="010202"/>
        </w:rPr>
        <w:t>Aid</w:t>
      </w:r>
      <w:r>
        <w:rPr>
          <w:color w:val="010202"/>
          <w:spacing w:val="-2"/>
        </w:rPr>
        <w:t xml:space="preserve"> </w:t>
      </w:r>
      <w:r>
        <w:rPr>
          <w:color w:val="010202"/>
        </w:rPr>
        <w:t>Queensland.</w:t>
      </w:r>
      <w:r>
        <w:rPr>
          <w:color w:val="010202"/>
          <w:spacing w:val="-13"/>
        </w:rPr>
        <w:t xml:space="preserve"> </w:t>
      </w:r>
      <w:r>
        <w:rPr>
          <w:color w:val="010202"/>
        </w:rPr>
        <w:t>Any</w:t>
      </w:r>
      <w:r>
        <w:rPr>
          <w:color w:val="010202"/>
          <w:spacing w:val="-2"/>
        </w:rPr>
        <w:t xml:space="preserve"> </w:t>
      </w:r>
      <w:r>
        <w:rPr>
          <w:color w:val="010202"/>
        </w:rPr>
        <w:t>of</w:t>
      </w:r>
      <w:r>
        <w:rPr>
          <w:color w:val="010202"/>
          <w:spacing w:val="-3"/>
        </w:rPr>
        <w:t xml:space="preserve"> </w:t>
      </w:r>
      <w:r>
        <w:rPr>
          <w:color w:val="010202"/>
        </w:rPr>
        <w:t>our</w:t>
      </w:r>
      <w:r>
        <w:rPr>
          <w:color w:val="010202"/>
          <w:spacing w:val="-3"/>
        </w:rPr>
        <w:t xml:space="preserve"> </w:t>
      </w:r>
      <w:r>
        <w:rPr>
          <w:color w:val="010202"/>
        </w:rPr>
        <w:t>team</w:t>
      </w:r>
      <w:r>
        <w:rPr>
          <w:color w:val="010202"/>
          <w:spacing w:val="-2"/>
        </w:rPr>
        <w:t xml:space="preserve"> </w:t>
      </w:r>
      <w:r>
        <w:rPr>
          <w:color w:val="010202"/>
        </w:rPr>
        <w:t>can</w:t>
      </w:r>
      <w:r>
        <w:rPr>
          <w:color w:val="010202"/>
          <w:spacing w:val="-2"/>
        </w:rPr>
        <w:t xml:space="preserve"> </w:t>
      </w:r>
      <w:r>
        <w:rPr>
          <w:color w:val="010202"/>
        </w:rPr>
        <w:t>book</w:t>
      </w:r>
      <w:r>
        <w:rPr>
          <w:color w:val="010202"/>
          <w:spacing w:val="-3"/>
        </w:rPr>
        <w:t xml:space="preserve"> </w:t>
      </w:r>
      <w:r>
        <w:rPr>
          <w:color w:val="010202"/>
        </w:rPr>
        <w:t>you</w:t>
      </w:r>
      <w:r>
        <w:rPr>
          <w:color w:val="010202"/>
          <w:spacing w:val="-2"/>
        </w:rPr>
        <w:t xml:space="preserve"> </w:t>
      </w:r>
      <w:r>
        <w:rPr>
          <w:color w:val="010202"/>
        </w:rPr>
        <w:t>into</w:t>
      </w:r>
      <w:r>
        <w:rPr>
          <w:color w:val="010202"/>
          <w:spacing w:val="-3"/>
        </w:rPr>
        <w:t xml:space="preserve"> </w:t>
      </w:r>
      <w:r>
        <w:rPr>
          <w:color w:val="010202"/>
        </w:rPr>
        <w:t>one</w:t>
      </w:r>
      <w:r>
        <w:rPr>
          <w:color w:val="010202"/>
          <w:spacing w:val="-3"/>
        </w:rPr>
        <w:t xml:space="preserve"> </w:t>
      </w:r>
      <w:r>
        <w:rPr>
          <w:color w:val="010202"/>
        </w:rPr>
        <w:t>of</w:t>
      </w:r>
      <w:r>
        <w:rPr>
          <w:color w:val="010202"/>
          <w:spacing w:val="-3"/>
        </w:rPr>
        <w:t xml:space="preserve"> </w:t>
      </w:r>
      <w:r>
        <w:rPr>
          <w:color w:val="010202"/>
        </w:rPr>
        <w:t>these</w:t>
      </w:r>
      <w:r>
        <w:rPr>
          <w:color w:val="010202"/>
          <w:spacing w:val="-2"/>
        </w:rPr>
        <w:t xml:space="preserve"> </w:t>
      </w:r>
      <w:r>
        <w:rPr>
          <w:color w:val="010202"/>
        </w:rPr>
        <w:t>clinics</w:t>
      </w:r>
      <w:r>
        <w:rPr>
          <w:color w:val="010202"/>
          <w:spacing w:val="-2"/>
        </w:rPr>
        <w:t xml:space="preserve"> </w:t>
      </w:r>
      <w:r>
        <w:rPr>
          <w:color w:val="010202"/>
        </w:rPr>
        <w:t>–</w:t>
      </w:r>
      <w:r>
        <w:rPr>
          <w:color w:val="010202"/>
          <w:spacing w:val="-3"/>
        </w:rPr>
        <w:t xml:space="preserve"> </w:t>
      </w:r>
      <w:r>
        <w:rPr>
          <w:color w:val="010202"/>
        </w:rPr>
        <w:t>our</w:t>
      </w:r>
      <w:r>
        <w:rPr>
          <w:color w:val="010202"/>
          <w:spacing w:val="-3"/>
        </w:rPr>
        <w:t xml:space="preserve"> </w:t>
      </w:r>
      <w:r>
        <w:rPr>
          <w:color w:val="010202"/>
        </w:rPr>
        <w:t>contact</w:t>
      </w:r>
      <w:r>
        <w:rPr>
          <w:color w:val="010202"/>
          <w:spacing w:val="-2"/>
        </w:rPr>
        <w:t xml:space="preserve"> </w:t>
      </w:r>
      <w:r>
        <w:rPr>
          <w:color w:val="010202"/>
        </w:rPr>
        <w:t xml:space="preserve">details are listed on our website at </w:t>
      </w:r>
      <w:hyperlink r:id="rId138" w:history="1">
        <w:r>
          <w:rPr>
            <w:rStyle w:val="Hyperlink"/>
            <w:color w:val="010202"/>
          </w:rPr>
          <w:t>https://www.qhrc.qld.gov.au/contactus.</w:t>
        </w:r>
      </w:hyperlink>
    </w:p>
    <w:p w14:paraId="6A45362E" w14:textId="77777777" w:rsidR="004C1D51" w:rsidRDefault="004C1D51" w:rsidP="004C1D51">
      <w:pPr>
        <w:pStyle w:val="BodyText"/>
        <w:spacing w:before="169" w:line="290" w:lineRule="auto"/>
        <w:ind w:left="113" w:right="380"/>
      </w:pPr>
      <w:r>
        <w:rPr>
          <w:color w:val="010202"/>
        </w:rPr>
        <w:t>The</w:t>
      </w:r>
      <w:r>
        <w:rPr>
          <w:color w:val="010202"/>
          <w:spacing w:val="-3"/>
        </w:rPr>
        <w:t xml:space="preserve"> </w:t>
      </w:r>
      <w:r>
        <w:rPr>
          <w:color w:val="010202"/>
        </w:rPr>
        <w:t>following</w:t>
      </w:r>
      <w:r>
        <w:rPr>
          <w:color w:val="010202"/>
          <w:spacing w:val="-3"/>
        </w:rPr>
        <w:t xml:space="preserve"> </w:t>
      </w:r>
      <w:r>
        <w:rPr>
          <w:color w:val="010202"/>
        </w:rPr>
        <w:t>Community</w:t>
      </w:r>
      <w:r>
        <w:rPr>
          <w:color w:val="010202"/>
          <w:spacing w:val="-4"/>
        </w:rPr>
        <w:t xml:space="preserve"> </w:t>
      </w:r>
      <w:r>
        <w:rPr>
          <w:color w:val="010202"/>
        </w:rPr>
        <w:t>Legal</w:t>
      </w:r>
      <w:r>
        <w:rPr>
          <w:color w:val="010202"/>
          <w:spacing w:val="-4"/>
        </w:rPr>
        <w:t xml:space="preserve"> </w:t>
      </w:r>
      <w:proofErr w:type="spellStart"/>
      <w:r>
        <w:rPr>
          <w:color w:val="010202"/>
        </w:rPr>
        <w:t>Centres</w:t>
      </w:r>
      <w:proofErr w:type="spellEnd"/>
      <w:r>
        <w:rPr>
          <w:color w:val="010202"/>
          <w:spacing w:val="-4"/>
        </w:rPr>
        <w:t xml:space="preserve"> </w:t>
      </w:r>
      <w:r>
        <w:rPr>
          <w:color w:val="010202"/>
        </w:rPr>
        <w:t>also</w:t>
      </w:r>
      <w:r>
        <w:rPr>
          <w:color w:val="010202"/>
          <w:spacing w:val="-4"/>
        </w:rPr>
        <w:t xml:space="preserve"> </w:t>
      </w:r>
      <w:r>
        <w:rPr>
          <w:color w:val="010202"/>
        </w:rPr>
        <w:t>provide</w:t>
      </w:r>
      <w:r>
        <w:rPr>
          <w:color w:val="010202"/>
          <w:spacing w:val="-4"/>
        </w:rPr>
        <w:t xml:space="preserve"> </w:t>
      </w:r>
      <w:r>
        <w:rPr>
          <w:color w:val="010202"/>
        </w:rPr>
        <w:t>assistance</w:t>
      </w:r>
      <w:r>
        <w:rPr>
          <w:color w:val="010202"/>
          <w:spacing w:val="-4"/>
        </w:rPr>
        <w:t xml:space="preserve"> </w:t>
      </w:r>
      <w:r>
        <w:rPr>
          <w:color w:val="010202"/>
        </w:rPr>
        <w:t>with</w:t>
      </w:r>
      <w:r>
        <w:rPr>
          <w:color w:val="010202"/>
          <w:spacing w:val="-4"/>
        </w:rPr>
        <w:t xml:space="preserve"> </w:t>
      </w:r>
      <w:r>
        <w:rPr>
          <w:color w:val="010202"/>
        </w:rPr>
        <w:t>making</w:t>
      </w:r>
      <w:r>
        <w:rPr>
          <w:color w:val="010202"/>
          <w:spacing w:val="-3"/>
        </w:rPr>
        <w:t xml:space="preserve"> </w:t>
      </w:r>
      <w:r>
        <w:rPr>
          <w:color w:val="010202"/>
        </w:rPr>
        <w:t>a</w:t>
      </w:r>
      <w:r>
        <w:rPr>
          <w:color w:val="010202"/>
          <w:spacing w:val="-4"/>
        </w:rPr>
        <w:t xml:space="preserve"> </w:t>
      </w:r>
      <w:r>
        <w:rPr>
          <w:color w:val="010202"/>
        </w:rPr>
        <w:t xml:space="preserve">discrimination </w:t>
      </w:r>
      <w:r>
        <w:rPr>
          <w:color w:val="010202"/>
          <w:spacing w:val="-2"/>
        </w:rPr>
        <w:t>complaint:</w:t>
      </w:r>
    </w:p>
    <w:p w14:paraId="7C3C65B0" w14:textId="77777777" w:rsidR="004C1D51" w:rsidRDefault="004C1D51">
      <w:pPr>
        <w:pStyle w:val="ListParagraph"/>
        <w:widowControl w:val="0"/>
        <w:numPr>
          <w:ilvl w:val="0"/>
          <w:numId w:val="53"/>
        </w:numPr>
        <w:tabs>
          <w:tab w:val="left" w:pos="681"/>
        </w:tabs>
        <w:autoSpaceDE w:val="0"/>
        <w:autoSpaceDN w:val="0"/>
        <w:spacing w:before="168" w:after="0" w:line="240" w:lineRule="auto"/>
        <w:contextualSpacing w:val="0"/>
        <w:rPr>
          <w:sz w:val="20"/>
        </w:rPr>
      </w:pPr>
      <w:r>
        <w:rPr>
          <w:color w:val="010202"/>
          <w:sz w:val="20"/>
        </w:rPr>
        <w:t>Caxton</w:t>
      </w:r>
      <w:r>
        <w:rPr>
          <w:color w:val="010202"/>
          <w:spacing w:val="-7"/>
          <w:sz w:val="20"/>
        </w:rPr>
        <w:t xml:space="preserve"> </w:t>
      </w:r>
      <w:r>
        <w:rPr>
          <w:color w:val="010202"/>
          <w:sz w:val="20"/>
        </w:rPr>
        <w:t>Legal</w:t>
      </w:r>
      <w:r>
        <w:rPr>
          <w:color w:val="010202"/>
          <w:spacing w:val="-4"/>
          <w:sz w:val="20"/>
        </w:rPr>
        <w:t xml:space="preserve"> </w:t>
      </w:r>
      <w:r>
        <w:rPr>
          <w:color w:val="010202"/>
          <w:sz w:val="20"/>
        </w:rPr>
        <w:t>Centre:</w:t>
      </w:r>
      <w:r>
        <w:rPr>
          <w:color w:val="010202"/>
          <w:spacing w:val="-4"/>
          <w:sz w:val="20"/>
        </w:rPr>
        <w:t xml:space="preserve"> </w:t>
      </w:r>
      <w:r>
        <w:rPr>
          <w:color w:val="010202"/>
          <w:sz w:val="20"/>
        </w:rPr>
        <w:t>07</w:t>
      </w:r>
      <w:r>
        <w:rPr>
          <w:color w:val="010202"/>
          <w:spacing w:val="-5"/>
          <w:sz w:val="20"/>
        </w:rPr>
        <w:t xml:space="preserve"> </w:t>
      </w:r>
      <w:r>
        <w:rPr>
          <w:color w:val="010202"/>
          <w:sz w:val="20"/>
        </w:rPr>
        <w:t>3214</w:t>
      </w:r>
      <w:r>
        <w:rPr>
          <w:color w:val="010202"/>
          <w:spacing w:val="-4"/>
          <w:sz w:val="20"/>
        </w:rPr>
        <w:t xml:space="preserve"> </w:t>
      </w:r>
      <w:r>
        <w:rPr>
          <w:color w:val="010202"/>
          <w:sz w:val="20"/>
        </w:rPr>
        <w:t>6333</w:t>
      </w:r>
      <w:r>
        <w:rPr>
          <w:color w:val="010202"/>
          <w:spacing w:val="-4"/>
          <w:sz w:val="20"/>
        </w:rPr>
        <w:t xml:space="preserve"> </w:t>
      </w:r>
      <w:r>
        <w:rPr>
          <w:color w:val="010202"/>
          <w:sz w:val="20"/>
        </w:rPr>
        <w:t>or</w:t>
      </w:r>
      <w:r>
        <w:rPr>
          <w:color w:val="010202"/>
          <w:spacing w:val="-4"/>
          <w:sz w:val="20"/>
        </w:rPr>
        <w:t xml:space="preserve"> </w:t>
      </w:r>
      <w:hyperlink r:id="rId139" w:history="1">
        <w:r>
          <w:rPr>
            <w:rStyle w:val="Hyperlink"/>
            <w:color w:val="010202"/>
            <w:spacing w:val="-2"/>
            <w:sz w:val="20"/>
          </w:rPr>
          <w:t>www.caxton.org.au.</w:t>
        </w:r>
      </w:hyperlink>
    </w:p>
    <w:p w14:paraId="34160F1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Basic</w:t>
      </w:r>
      <w:r>
        <w:rPr>
          <w:color w:val="010202"/>
          <w:spacing w:val="-6"/>
          <w:sz w:val="20"/>
        </w:rPr>
        <w:t xml:space="preserve"> </w:t>
      </w:r>
      <w:r>
        <w:rPr>
          <w:color w:val="010202"/>
          <w:sz w:val="20"/>
        </w:rPr>
        <w:t>Rights</w:t>
      </w:r>
      <w:r>
        <w:rPr>
          <w:color w:val="010202"/>
          <w:spacing w:val="-4"/>
          <w:sz w:val="20"/>
        </w:rPr>
        <w:t xml:space="preserve"> </w:t>
      </w:r>
      <w:r>
        <w:rPr>
          <w:color w:val="010202"/>
          <w:sz w:val="20"/>
        </w:rPr>
        <w:t>Queensland:</w:t>
      </w:r>
      <w:r>
        <w:rPr>
          <w:color w:val="010202"/>
          <w:spacing w:val="-3"/>
          <w:sz w:val="20"/>
        </w:rPr>
        <w:t xml:space="preserve"> </w:t>
      </w:r>
      <w:r>
        <w:rPr>
          <w:color w:val="010202"/>
          <w:sz w:val="20"/>
        </w:rPr>
        <w:t>07</w:t>
      </w:r>
      <w:r>
        <w:rPr>
          <w:color w:val="010202"/>
          <w:spacing w:val="-4"/>
          <w:sz w:val="20"/>
        </w:rPr>
        <w:t xml:space="preserve"> </w:t>
      </w:r>
      <w:r>
        <w:rPr>
          <w:color w:val="010202"/>
          <w:sz w:val="20"/>
        </w:rPr>
        <w:t>3847</w:t>
      </w:r>
      <w:r>
        <w:rPr>
          <w:color w:val="010202"/>
          <w:spacing w:val="-4"/>
          <w:sz w:val="20"/>
        </w:rPr>
        <w:t xml:space="preserve"> </w:t>
      </w:r>
      <w:r>
        <w:rPr>
          <w:color w:val="010202"/>
          <w:sz w:val="20"/>
        </w:rPr>
        <w:t>5532</w:t>
      </w:r>
      <w:r>
        <w:rPr>
          <w:color w:val="010202"/>
          <w:spacing w:val="-5"/>
          <w:sz w:val="20"/>
        </w:rPr>
        <w:t xml:space="preserve"> </w:t>
      </w:r>
      <w:r>
        <w:rPr>
          <w:color w:val="010202"/>
          <w:sz w:val="20"/>
        </w:rPr>
        <w:t>or</w:t>
      </w:r>
      <w:r>
        <w:rPr>
          <w:color w:val="010202"/>
          <w:spacing w:val="-4"/>
          <w:sz w:val="20"/>
        </w:rPr>
        <w:t xml:space="preserve"> </w:t>
      </w:r>
      <w:r>
        <w:rPr>
          <w:color w:val="010202"/>
          <w:sz w:val="20"/>
        </w:rPr>
        <w:t>1800</w:t>
      </w:r>
      <w:r>
        <w:rPr>
          <w:color w:val="010202"/>
          <w:spacing w:val="-4"/>
          <w:sz w:val="20"/>
        </w:rPr>
        <w:t xml:space="preserve"> </w:t>
      </w:r>
      <w:r>
        <w:rPr>
          <w:color w:val="010202"/>
          <w:sz w:val="20"/>
        </w:rPr>
        <w:t>358</w:t>
      </w:r>
      <w:r>
        <w:rPr>
          <w:color w:val="010202"/>
          <w:spacing w:val="-4"/>
          <w:sz w:val="20"/>
        </w:rPr>
        <w:t xml:space="preserve"> </w:t>
      </w:r>
      <w:r>
        <w:rPr>
          <w:color w:val="010202"/>
          <w:sz w:val="20"/>
        </w:rPr>
        <w:t>511</w:t>
      </w:r>
      <w:r>
        <w:rPr>
          <w:color w:val="010202"/>
          <w:spacing w:val="-4"/>
          <w:sz w:val="20"/>
        </w:rPr>
        <w:t xml:space="preserve"> </w:t>
      </w:r>
      <w:r>
        <w:rPr>
          <w:color w:val="010202"/>
          <w:sz w:val="20"/>
        </w:rPr>
        <w:t>or</w:t>
      </w:r>
      <w:r>
        <w:rPr>
          <w:color w:val="010202"/>
          <w:spacing w:val="-4"/>
          <w:sz w:val="20"/>
        </w:rPr>
        <w:t xml:space="preserve"> </w:t>
      </w:r>
      <w:hyperlink r:id="rId140" w:history="1">
        <w:r>
          <w:rPr>
            <w:rStyle w:val="Hyperlink"/>
            <w:color w:val="010202"/>
            <w:spacing w:val="-2"/>
            <w:sz w:val="20"/>
          </w:rPr>
          <w:t>www.brq.org.au.</w:t>
        </w:r>
      </w:hyperlink>
    </w:p>
    <w:p w14:paraId="4D4EC73E"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Queensland</w:t>
      </w:r>
      <w:r>
        <w:rPr>
          <w:color w:val="010202"/>
          <w:spacing w:val="-16"/>
          <w:sz w:val="20"/>
        </w:rPr>
        <w:t xml:space="preserve"> </w:t>
      </w:r>
      <w:r>
        <w:rPr>
          <w:color w:val="010202"/>
          <w:sz w:val="20"/>
        </w:rPr>
        <w:t>Advocacy</w:t>
      </w:r>
      <w:r>
        <w:rPr>
          <w:color w:val="010202"/>
          <w:spacing w:val="-6"/>
          <w:sz w:val="20"/>
        </w:rPr>
        <w:t xml:space="preserve"> </w:t>
      </w:r>
      <w:r>
        <w:rPr>
          <w:color w:val="010202"/>
          <w:sz w:val="20"/>
        </w:rPr>
        <w:t>Inc</w:t>
      </w:r>
      <w:r>
        <w:rPr>
          <w:color w:val="010202"/>
          <w:spacing w:val="-5"/>
          <w:sz w:val="20"/>
        </w:rPr>
        <w:t xml:space="preserve"> </w:t>
      </w:r>
      <w:r>
        <w:rPr>
          <w:color w:val="010202"/>
          <w:sz w:val="20"/>
        </w:rPr>
        <w:t>(for</w:t>
      </w:r>
      <w:r>
        <w:rPr>
          <w:color w:val="010202"/>
          <w:spacing w:val="-5"/>
          <w:sz w:val="20"/>
        </w:rPr>
        <w:t xml:space="preserve"> </w:t>
      </w:r>
      <w:r>
        <w:rPr>
          <w:color w:val="010202"/>
          <w:sz w:val="20"/>
        </w:rPr>
        <w:t>people</w:t>
      </w:r>
      <w:r>
        <w:rPr>
          <w:color w:val="010202"/>
          <w:spacing w:val="-6"/>
          <w:sz w:val="20"/>
        </w:rPr>
        <w:t xml:space="preserve"> </w:t>
      </w:r>
      <w:r>
        <w:rPr>
          <w:color w:val="010202"/>
          <w:sz w:val="20"/>
        </w:rPr>
        <w:t>who</w:t>
      </w:r>
      <w:r>
        <w:rPr>
          <w:color w:val="010202"/>
          <w:spacing w:val="-5"/>
          <w:sz w:val="20"/>
        </w:rPr>
        <w:t xml:space="preserve"> </w:t>
      </w:r>
      <w:r>
        <w:rPr>
          <w:color w:val="010202"/>
          <w:sz w:val="20"/>
        </w:rPr>
        <w:t>have</w:t>
      </w:r>
      <w:r>
        <w:rPr>
          <w:color w:val="010202"/>
          <w:spacing w:val="-6"/>
          <w:sz w:val="20"/>
        </w:rPr>
        <w:t xml:space="preserve"> </w:t>
      </w:r>
      <w:r>
        <w:rPr>
          <w:color w:val="010202"/>
          <w:sz w:val="20"/>
        </w:rPr>
        <w:t>mental</w:t>
      </w:r>
      <w:r>
        <w:rPr>
          <w:color w:val="010202"/>
          <w:spacing w:val="-5"/>
          <w:sz w:val="20"/>
        </w:rPr>
        <w:t xml:space="preserve"> </w:t>
      </w:r>
      <w:r>
        <w:rPr>
          <w:color w:val="010202"/>
          <w:sz w:val="20"/>
        </w:rPr>
        <w:t>illness,</w:t>
      </w:r>
      <w:r>
        <w:rPr>
          <w:color w:val="010202"/>
          <w:spacing w:val="-6"/>
          <w:sz w:val="20"/>
        </w:rPr>
        <w:t xml:space="preserve"> </w:t>
      </w:r>
      <w:r>
        <w:rPr>
          <w:color w:val="010202"/>
          <w:sz w:val="20"/>
        </w:rPr>
        <w:t>intellectual</w:t>
      </w:r>
      <w:r>
        <w:rPr>
          <w:color w:val="010202"/>
          <w:spacing w:val="-6"/>
          <w:sz w:val="20"/>
        </w:rPr>
        <w:t xml:space="preserve"> </w:t>
      </w:r>
      <w:r>
        <w:rPr>
          <w:color w:val="010202"/>
          <w:sz w:val="20"/>
        </w:rPr>
        <w:t>disability,</w:t>
      </w:r>
      <w:r>
        <w:rPr>
          <w:color w:val="010202"/>
          <w:spacing w:val="-4"/>
          <w:sz w:val="20"/>
        </w:rPr>
        <w:t xml:space="preserve"> </w:t>
      </w:r>
      <w:r>
        <w:rPr>
          <w:color w:val="010202"/>
          <w:spacing w:val="-5"/>
          <w:sz w:val="20"/>
        </w:rPr>
        <w:t>or</w:t>
      </w:r>
    </w:p>
    <w:p w14:paraId="623E6B17" w14:textId="77777777" w:rsidR="004C1D51" w:rsidRDefault="004C1D51" w:rsidP="004C1D51">
      <w:pPr>
        <w:pStyle w:val="BodyText"/>
        <w:spacing w:before="50"/>
        <w:ind w:left="680"/>
      </w:pPr>
      <w:r>
        <w:rPr>
          <w:color w:val="010202"/>
        </w:rPr>
        <w:t>cognitive</w:t>
      </w:r>
      <w:r>
        <w:rPr>
          <w:color w:val="010202"/>
          <w:spacing w:val="-5"/>
        </w:rPr>
        <w:t xml:space="preserve"> </w:t>
      </w:r>
      <w:r>
        <w:rPr>
          <w:color w:val="010202"/>
        </w:rPr>
        <w:t>impairment):</w:t>
      </w:r>
      <w:r>
        <w:rPr>
          <w:color w:val="010202"/>
          <w:spacing w:val="-4"/>
        </w:rPr>
        <w:t xml:space="preserve"> </w:t>
      </w:r>
      <w:r>
        <w:rPr>
          <w:color w:val="010202"/>
        </w:rPr>
        <w:t>07</w:t>
      </w:r>
      <w:r>
        <w:rPr>
          <w:color w:val="010202"/>
          <w:spacing w:val="-4"/>
        </w:rPr>
        <w:t xml:space="preserve"> </w:t>
      </w:r>
      <w:r>
        <w:rPr>
          <w:color w:val="010202"/>
        </w:rPr>
        <w:t>3844</w:t>
      </w:r>
      <w:r>
        <w:rPr>
          <w:color w:val="010202"/>
          <w:spacing w:val="-3"/>
        </w:rPr>
        <w:t xml:space="preserve"> </w:t>
      </w:r>
      <w:r>
        <w:rPr>
          <w:color w:val="010202"/>
        </w:rPr>
        <w:t>4200</w:t>
      </w:r>
      <w:r>
        <w:rPr>
          <w:color w:val="010202"/>
          <w:spacing w:val="-4"/>
        </w:rPr>
        <w:t xml:space="preserve"> </w:t>
      </w:r>
      <w:r>
        <w:rPr>
          <w:color w:val="010202"/>
        </w:rPr>
        <w:t>or</w:t>
      </w:r>
      <w:r>
        <w:rPr>
          <w:color w:val="010202"/>
          <w:spacing w:val="-4"/>
        </w:rPr>
        <w:t xml:space="preserve"> </w:t>
      </w:r>
      <w:r>
        <w:rPr>
          <w:color w:val="010202"/>
        </w:rPr>
        <w:t>1300</w:t>
      </w:r>
      <w:r>
        <w:rPr>
          <w:color w:val="010202"/>
          <w:spacing w:val="-3"/>
        </w:rPr>
        <w:t xml:space="preserve"> </w:t>
      </w:r>
      <w:r>
        <w:rPr>
          <w:color w:val="010202"/>
        </w:rPr>
        <w:t>130</w:t>
      </w:r>
      <w:r>
        <w:rPr>
          <w:color w:val="010202"/>
          <w:spacing w:val="-4"/>
        </w:rPr>
        <w:t xml:space="preserve"> </w:t>
      </w:r>
      <w:r>
        <w:rPr>
          <w:color w:val="010202"/>
        </w:rPr>
        <w:t>582</w:t>
      </w:r>
      <w:r>
        <w:rPr>
          <w:color w:val="010202"/>
          <w:spacing w:val="-4"/>
        </w:rPr>
        <w:t xml:space="preserve"> </w:t>
      </w:r>
      <w:r>
        <w:rPr>
          <w:color w:val="010202"/>
        </w:rPr>
        <w:t>or</w:t>
      </w:r>
      <w:r>
        <w:rPr>
          <w:color w:val="010202"/>
          <w:spacing w:val="-3"/>
        </w:rPr>
        <w:t xml:space="preserve"> </w:t>
      </w:r>
      <w:hyperlink r:id="rId141" w:history="1">
        <w:r>
          <w:rPr>
            <w:rStyle w:val="Hyperlink"/>
            <w:color w:val="010202"/>
            <w:spacing w:val="-2"/>
          </w:rPr>
          <w:t>www.qai.org.au.</w:t>
        </w:r>
      </w:hyperlink>
    </w:p>
    <w:p w14:paraId="0F9F3BD5" w14:textId="77777777" w:rsidR="004C1D51" w:rsidRDefault="004C1D51">
      <w:pPr>
        <w:pStyle w:val="ListParagraph"/>
        <w:widowControl w:val="0"/>
        <w:numPr>
          <w:ilvl w:val="0"/>
          <w:numId w:val="53"/>
        </w:numPr>
        <w:tabs>
          <w:tab w:val="left" w:pos="681"/>
        </w:tabs>
        <w:autoSpaceDE w:val="0"/>
        <w:autoSpaceDN w:val="0"/>
        <w:spacing w:before="51" w:after="0" w:line="240" w:lineRule="auto"/>
        <w:contextualSpacing w:val="0"/>
        <w:rPr>
          <w:sz w:val="20"/>
        </w:rPr>
      </w:pPr>
      <w:r>
        <w:rPr>
          <w:color w:val="010202"/>
          <w:sz w:val="20"/>
        </w:rPr>
        <w:t>Cairns</w:t>
      </w:r>
      <w:r>
        <w:rPr>
          <w:color w:val="010202"/>
          <w:spacing w:val="-7"/>
          <w:sz w:val="20"/>
        </w:rPr>
        <w:t xml:space="preserve"> </w:t>
      </w:r>
      <w:r>
        <w:rPr>
          <w:color w:val="010202"/>
          <w:sz w:val="20"/>
        </w:rPr>
        <w:t>Community</w:t>
      </w:r>
      <w:r>
        <w:rPr>
          <w:color w:val="010202"/>
          <w:spacing w:val="-4"/>
          <w:sz w:val="20"/>
        </w:rPr>
        <w:t xml:space="preserve"> </w:t>
      </w:r>
      <w:r>
        <w:rPr>
          <w:color w:val="010202"/>
          <w:sz w:val="20"/>
        </w:rPr>
        <w:t>Legal</w:t>
      </w:r>
      <w:r>
        <w:rPr>
          <w:color w:val="010202"/>
          <w:spacing w:val="-4"/>
          <w:sz w:val="20"/>
        </w:rPr>
        <w:t xml:space="preserve"> </w:t>
      </w:r>
      <w:r>
        <w:rPr>
          <w:color w:val="010202"/>
          <w:sz w:val="20"/>
        </w:rPr>
        <w:t>Centre:</w:t>
      </w:r>
      <w:r>
        <w:rPr>
          <w:color w:val="010202"/>
          <w:spacing w:val="-4"/>
          <w:sz w:val="20"/>
        </w:rPr>
        <w:t xml:space="preserve"> </w:t>
      </w:r>
      <w:r>
        <w:rPr>
          <w:color w:val="010202"/>
          <w:sz w:val="20"/>
        </w:rPr>
        <w:t>07</w:t>
      </w:r>
      <w:r>
        <w:rPr>
          <w:color w:val="010202"/>
          <w:spacing w:val="-5"/>
          <w:sz w:val="20"/>
        </w:rPr>
        <w:t xml:space="preserve"> </w:t>
      </w:r>
      <w:r>
        <w:rPr>
          <w:color w:val="010202"/>
          <w:sz w:val="20"/>
        </w:rPr>
        <w:t>4031</w:t>
      </w:r>
      <w:r>
        <w:rPr>
          <w:color w:val="010202"/>
          <w:spacing w:val="-4"/>
          <w:sz w:val="20"/>
        </w:rPr>
        <w:t xml:space="preserve"> </w:t>
      </w:r>
      <w:r>
        <w:rPr>
          <w:color w:val="010202"/>
          <w:sz w:val="20"/>
        </w:rPr>
        <w:t>7688</w:t>
      </w:r>
      <w:r>
        <w:rPr>
          <w:color w:val="010202"/>
          <w:spacing w:val="-4"/>
          <w:sz w:val="20"/>
        </w:rPr>
        <w:t xml:space="preserve"> </w:t>
      </w:r>
      <w:r>
        <w:rPr>
          <w:color w:val="010202"/>
          <w:sz w:val="20"/>
        </w:rPr>
        <w:t>or</w:t>
      </w:r>
      <w:r>
        <w:rPr>
          <w:color w:val="010202"/>
          <w:spacing w:val="-4"/>
          <w:sz w:val="20"/>
        </w:rPr>
        <w:t xml:space="preserve"> </w:t>
      </w:r>
      <w:r>
        <w:rPr>
          <w:color w:val="010202"/>
          <w:sz w:val="20"/>
        </w:rPr>
        <w:t>1800</w:t>
      </w:r>
      <w:r>
        <w:rPr>
          <w:color w:val="010202"/>
          <w:spacing w:val="-5"/>
          <w:sz w:val="20"/>
        </w:rPr>
        <w:t xml:space="preserve"> </w:t>
      </w:r>
      <w:r>
        <w:rPr>
          <w:color w:val="010202"/>
          <w:sz w:val="20"/>
        </w:rPr>
        <w:t>062</w:t>
      </w:r>
      <w:r>
        <w:rPr>
          <w:color w:val="010202"/>
          <w:spacing w:val="-4"/>
          <w:sz w:val="20"/>
        </w:rPr>
        <w:t xml:space="preserve"> </w:t>
      </w:r>
      <w:r>
        <w:rPr>
          <w:color w:val="010202"/>
          <w:sz w:val="20"/>
        </w:rPr>
        <w:t>608</w:t>
      </w:r>
      <w:r>
        <w:rPr>
          <w:color w:val="010202"/>
          <w:spacing w:val="-4"/>
          <w:sz w:val="20"/>
        </w:rPr>
        <w:t xml:space="preserve"> </w:t>
      </w:r>
      <w:r>
        <w:rPr>
          <w:color w:val="010202"/>
          <w:sz w:val="20"/>
        </w:rPr>
        <w:t>or</w:t>
      </w:r>
      <w:r>
        <w:rPr>
          <w:color w:val="010202"/>
          <w:spacing w:val="-4"/>
          <w:sz w:val="20"/>
        </w:rPr>
        <w:t xml:space="preserve"> </w:t>
      </w:r>
      <w:hyperlink r:id="rId142" w:history="1">
        <w:r>
          <w:rPr>
            <w:rStyle w:val="Hyperlink"/>
            <w:color w:val="010202"/>
            <w:spacing w:val="-2"/>
            <w:sz w:val="20"/>
          </w:rPr>
          <w:t>www.cclc.org.au.</w:t>
        </w:r>
      </w:hyperlink>
    </w:p>
    <w:p w14:paraId="6AC7122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Townsville</w:t>
      </w:r>
      <w:r>
        <w:rPr>
          <w:color w:val="010202"/>
          <w:spacing w:val="-13"/>
          <w:sz w:val="20"/>
        </w:rPr>
        <w:t xml:space="preserve"> </w:t>
      </w:r>
      <w:r>
        <w:rPr>
          <w:color w:val="010202"/>
          <w:sz w:val="20"/>
        </w:rPr>
        <w:t>Community</w:t>
      </w:r>
      <w:r>
        <w:rPr>
          <w:color w:val="010202"/>
          <w:spacing w:val="-10"/>
          <w:sz w:val="20"/>
        </w:rPr>
        <w:t xml:space="preserve"> </w:t>
      </w:r>
      <w:r>
        <w:rPr>
          <w:color w:val="010202"/>
          <w:sz w:val="20"/>
        </w:rPr>
        <w:t>Law:</w:t>
      </w:r>
      <w:r>
        <w:rPr>
          <w:color w:val="010202"/>
          <w:spacing w:val="-10"/>
          <w:sz w:val="20"/>
        </w:rPr>
        <w:t xml:space="preserve"> </w:t>
      </w:r>
      <w:r>
        <w:rPr>
          <w:color w:val="010202"/>
          <w:sz w:val="20"/>
        </w:rPr>
        <w:t>07</w:t>
      </w:r>
      <w:r>
        <w:rPr>
          <w:color w:val="010202"/>
          <w:spacing w:val="-10"/>
          <w:sz w:val="20"/>
        </w:rPr>
        <w:t xml:space="preserve"> </w:t>
      </w:r>
      <w:r>
        <w:rPr>
          <w:color w:val="010202"/>
          <w:sz w:val="20"/>
        </w:rPr>
        <w:t>4721</w:t>
      </w:r>
      <w:r>
        <w:rPr>
          <w:color w:val="010202"/>
          <w:spacing w:val="-10"/>
          <w:sz w:val="20"/>
        </w:rPr>
        <w:t xml:space="preserve"> </w:t>
      </w:r>
      <w:r>
        <w:rPr>
          <w:color w:val="010202"/>
          <w:sz w:val="20"/>
        </w:rPr>
        <w:t>5511</w:t>
      </w:r>
      <w:r>
        <w:rPr>
          <w:color w:val="010202"/>
          <w:spacing w:val="-10"/>
          <w:sz w:val="20"/>
        </w:rPr>
        <w:t xml:space="preserve"> </w:t>
      </w:r>
      <w:r>
        <w:rPr>
          <w:color w:val="010202"/>
          <w:sz w:val="20"/>
        </w:rPr>
        <w:t>or</w:t>
      </w:r>
      <w:r>
        <w:rPr>
          <w:color w:val="010202"/>
          <w:spacing w:val="-10"/>
          <w:sz w:val="20"/>
        </w:rPr>
        <w:t xml:space="preserve"> </w:t>
      </w:r>
      <w:hyperlink r:id="rId143" w:history="1">
        <w:r>
          <w:rPr>
            <w:rStyle w:val="Hyperlink"/>
            <w:color w:val="010202"/>
            <w:spacing w:val="-2"/>
            <w:sz w:val="20"/>
          </w:rPr>
          <w:t>www.townsvillecommunity.law.</w:t>
        </w:r>
      </w:hyperlink>
    </w:p>
    <w:p w14:paraId="720F34DB" w14:textId="77777777" w:rsidR="004C1D51" w:rsidRDefault="004C1D51" w:rsidP="004C1D51">
      <w:pPr>
        <w:pStyle w:val="BodyText"/>
        <w:spacing w:before="8"/>
        <w:rPr>
          <w:sz w:val="21"/>
        </w:rPr>
      </w:pPr>
    </w:p>
    <w:p w14:paraId="4C6BB0AA" w14:textId="77777777" w:rsidR="004C1D51" w:rsidRDefault="004C1D51" w:rsidP="004C1D51">
      <w:pPr>
        <w:pStyle w:val="BodyText"/>
        <w:ind w:left="113"/>
      </w:pPr>
      <w:r>
        <w:rPr>
          <w:color w:val="010202"/>
        </w:rPr>
        <w:t>To</w:t>
      </w:r>
      <w:r>
        <w:rPr>
          <w:color w:val="010202"/>
          <w:spacing w:val="-6"/>
        </w:rPr>
        <w:t xml:space="preserve"> </w:t>
      </w:r>
      <w:r>
        <w:rPr>
          <w:color w:val="010202"/>
        </w:rPr>
        <w:t>find</w:t>
      </w:r>
      <w:r>
        <w:rPr>
          <w:color w:val="010202"/>
          <w:spacing w:val="-4"/>
        </w:rPr>
        <w:t xml:space="preserve"> </w:t>
      </w:r>
      <w:r>
        <w:rPr>
          <w:color w:val="010202"/>
        </w:rPr>
        <w:t>more</w:t>
      </w:r>
      <w:r>
        <w:rPr>
          <w:color w:val="010202"/>
          <w:spacing w:val="-4"/>
        </w:rPr>
        <w:t xml:space="preserve"> </w:t>
      </w:r>
      <w:r>
        <w:rPr>
          <w:color w:val="010202"/>
        </w:rPr>
        <w:t>community</w:t>
      </w:r>
      <w:r>
        <w:rPr>
          <w:color w:val="010202"/>
          <w:spacing w:val="-4"/>
        </w:rPr>
        <w:t xml:space="preserve"> </w:t>
      </w:r>
      <w:r>
        <w:rPr>
          <w:color w:val="010202"/>
        </w:rPr>
        <w:t>legal</w:t>
      </w:r>
      <w:r>
        <w:rPr>
          <w:color w:val="010202"/>
          <w:spacing w:val="-5"/>
        </w:rPr>
        <w:t xml:space="preserve"> </w:t>
      </w:r>
      <w:proofErr w:type="spellStart"/>
      <w:r>
        <w:rPr>
          <w:color w:val="010202"/>
        </w:rPr>
        <w:t>centres</w:t>
      </w:r>
      <w:proofErr w:type="spellEnd"/>
      <w:r>
        <w:rPr>
          <w:color w:val="010202"/>
        </w:rPr>
        <w:t>,</w:t>
      </w:r>
      <w:r>
        <w:rPr>
          <w:color w:val="010202"/>
          <w:spacing w:val="-4"/>
        </w:rPr>
        <w:t xml:space="preserve"> </w:t>
      </w:r>
      <w:r>
        <w:rPr>
          <w:color w:val="010202"/>
        </w:rPr>
        <w:t>see</w:t>
      </w:r>
      <w:r>
        <w:rPr>
          <w:color w:val="010202"/>
          <w:spacing w:val="-4"/>
        </w:rPr>
        <w:t xml:space="preserve"> </w:t>
      </w:r>
      <w:r>
        <w:rPr>
          <w:color w:val="010202"/>
        </w:rPr>
        <w:t>the</w:t>
      </w:r>
      <w:r>
        <w:rPr>
          <w:color w:val="010202"/>
          <w:spacing w:val="-4"/>
        </w:rPr>
        <w:t xml:space="preserve"> </w:t>
      </w:r>
      <w:r>
        <w:rPr>
          <w:color w:val="010202"/>
        </w:rPr>
        <w:t>Community</w:t>
      </w:r>
      <w:r>
        <w:rPr>
          <w:color w:val="010202"/>
          <w:spacing w:val="-5"/>
        </w:rPr>
        <w:t xml:space="preserve"> </w:t>
      </w:r>
      <w:r>
        <w:rPr>
          <w:color w:val="010202"/>
        </w:rPr>
        <w:t>Legal</w:t>
      </w:r>
      <w:r>
        <w:rPr>
          <w:color w:val="010202"/>
          <w:spacing w:val="-5"/>
        </w:rPr>
        <w:t xml:space="preserve"> </w:t>
      </w:r>
      <w:proofErr w:type="spellStart"/>
      <w:r>
        <w:rPr>
          <w:color w:val="010202"/>
        </w:rPr>
        <w:t>Centres</w:t>
      </w:r>
      <w:proofErr w:type="spellEnd"/>
      <w:r>
        <w:rPr>
          <w:color w:val="010202"/>
          <w:spacing w:val="-5"/>
        </w:rPr>
        <w:t xml:space="preserve"> </w:t>
      </w:r>
      <w:r>
        <w:rPr>
          <w:color w:val="010202"/>
        </w:rPr>
        <w:t>Queensland</w:t>
      </w:r>
      <w:r>
        <w:rPr>
          <w:color w:val="010202"/>
          <w:spacing w:val="-4"/>
        </w:rPr>
        <w:t xml:space="preserve"> </w:t>
      </w:r>
      <w:r>
        <w:rPr>
          <w:color w:val="010202"/>
        </w:rPr>
        <w:t>website</w:t>
      </w:r>
      <w:r>
        <w:rPr>
          <w:color w:val="010202"/>
          <w:spacing w:val="-4"/>
        </w:rPr>
        <w:t xml:space="preserve"> </w:t>
      </w:r>
      <w:r>
        <w:rPr>
          <w:color w:val="010202"/>
          <w:spacing w:val="-5"/>
        </w:rPr>
        <w:t>at</w:t>
      </w:r>
    </w:p>
    <w:p w14:paraId="5A655461" w14:textId="77777777" w:rsidR="004C1D51" w:rsidRDefault="00000000" w:rsidP="004C1D51">
      <w:pPr>
        <w:pStyle w:val="BodyText"/>
        <w:spacing w:before="50"/>
        <w:ind w:left="113"/>
      </w:pPr>
      <w:hyperlink r:id="rId144" w:history="1">
        <w:r w:rsidR="004C1D51">
          <w:rPr>
            <w:rStyle w:val="Hyperlink"/>
            <w:color w:val="010202"/>
          </w:rPr>
          <w:t>www.communitylegalqld.org.au</w:t>
        </w:r>
      </w:hyperlink>
      <w:r w:rsidR="004C1D51">
        <w:rPr>
          <w:color w:val="010202"/>
          <w:spacing w:val="-6"/>
        </w:rPr>
        <w:t xml:space="preserve"> </w:t>
      </w:r>
      <w:r w:rsidR="004C1D51">
        <w:rPr>
          <w:color w:val="010202"/>
        </w:rPr>
        <w:t>or</w:t>
      </w:r>
      <w:r w:rsidR="004C1D51">
        <w:rPr>
          <w:color w:val="010202"/>
          <w:spacing w:val="-5"/>
        </w:rPr>
        <w:t xml:space="preserve"> </w:t>
      </w:r>
      <w:r w:rsidR="004C1D51">
        <w:rPr>
          <w:color w:val="010202"/>
        </w:rPr>
        <w:t>call</w:t>
      </w:r>
      <w:r w:rsidR="004C1D51">
        <w:rPr>
          <w:color w:val="010202"/>
          <w:spacing w:val="-3"/>
        </w:rPr>
        <w:t xml:space="preserve"> </w:t>
      </w:r>
      <w:r w:rsidR="004C1D51">
        <w:rPr>
          <w:color w:val="010202"/>
        </w:rPr>
        <w:t>07</w:t>
      </w:r>
      <w:r w:rsidR="004C1D51">
        <w:rPr>
          <w:color w:val="010202"/>
          <w:spacing w:val="-5"/>
        </w:rPr>
        <w:t xml:space="preserve"> </w:t>
      </w:r>
      <w:r w:rsidR="004C1D51">
        <w:rPr>
          <w:color w:val="010202"/>
        </w:rPr>
        <w:t>3392</w:t>
      </w:r>
      <w:r w:rsidR="004C1D51">
        <w:rPr>
          <w:color w:val="010202"/>
          <w:spacing w:val="-4"/>
        </w:rPr>
        <w:t xml:space="preserve"> </w:t>
      </w:r>
      <w:r w:rsidR="004C1D51">
        <w:rPr>
          <w:color w:val="010202"/>
          <w:spacing w:val="-2"/>
        </w:rPr>
        <w:t>0092.</w:t>
      </w:r>
    </w:p>
    <w:p w14:paraId="7C62F948" w14:textId="77777777" w:rsidR="004C1D51" w:rsidRDefault="004C1D51" w:rsidP="004C1D51">
      <w:pPr>
        <w:pStyle w:val="BodyText"/>
        <w:spacing w:before="2"/>
        <w:rPr>
          <w:sz w:val="19"/>
        </w:rPr>
      </w:pPr>
    </w:p>
    <w:p w14:paraId="7C023C82" w14:textId="77777777" w:rsidR="004C1D51" w:rsidRDefault="004C1D51" w:rsidP="004C1D51">
      <w:pPr>
        <w:pStyle w:val="BodyText"/>
        <w:spacing w:line="290" w:lineRule="auto"/>
        <w:ind w:left="113"/>
      </w:pPr>
      <w:r>
        <w:rPr>
          <w:color w:val="010202"/>
        </w:rPr>
        <w:t>To</w:t>
      </w:r>
      <w:r>
        <w:rPr>
          <w:color w:val="010202"/>
          <w:spacing w:val="-5"/>
        </w:rPr>
        <w:t xml:space="preserve"> </w:t>
      </w:r>
      <w:r>
        <w:rPr>
          <w:color w:val="010202"/>
        </w:rPr>
        <w:t>find</w:t>
      </w:r>
      <w:r>
        <w:rPr>
          <w:color w:val="010202"/>
          <w:spacing w:val="-4"/>
        </w:rPr>
        <w:t xml:space="preserve"> </w:t>
      </w:r>
      <w:r>
        <w:rPr>
          <w:color w:val="010202"/>
        </w:rPr>
        <w:t>a</w:t>
      </w:r>
      <w:r>
        <w:rPr>
          <w:color w:val="010202"/>
          <w:spacing w:val="-5"/>
        </w:rPr>
        <w:t xml:space="preserve"> </w:t>
      </w:r>
      <w:r>
        <w:rPr>
          <w:color w:val="010202"/>
        </w:rPr>
        <w:t>private</w:t>
      </w:r>
      <w:r>
        <w:rPr>
          <w:color w:val="010202"/>
          <w:spacing w:val="-5"/>
        </w:rPr>
        <w:t xml:space="preserve"> </w:t>
      </w:r>
      <w:r>
        <w:rPr>
          <w:color w:val="010202"/>
        </w:rPr>
        <w:t>lawyer,</w:t>
      </w:r>
      <w:r>
        <w:rPr>
          <w:color w:val="010202"/>
          <w:spacing w:val="-4"/>
        </w:rPr>
        <w:t xml:space="preserve"> </w:t>
      </w:r>
      <w:r>
        <w:rPr>
          <w:color w:val="010202"/>
        </w:rPr>
        <w:t>you</w:t>
      </w:r>
      <w:r>
        <w:rPr>
          <w:color w:val="010202"/>
          <w:spacing w:val="-4"/>
        </w:rPr>
        <w:t xml:space="preserve"> </w:t>
      </w:r>
      <w:r>
        <w:rPr>
          <w:color w:val="010202"/>
        </w:rPr>
        <w:t>can</w:t>
      </w:r>
      <w:r>
        <w:rPr>
          <w:color w:val="010202"/>
          <w:spacing w:val="-4"/>
        </w:rPr>
        <w:t xml:space="preserve"> </w:t>
      </w:r>
      <w:r>
        <w:rPr>
          <w:color w:val="010202"/>
        </w:rPr>
        <w:t>call</w:t>
      </w:r>
      <w:r>
        <w:rPr>
          <w:color w:val="010202"/>
          <w:spacing w:val="-4"/>
        </w:rPr>
        <w:t xml:space="preserve"> </w:t>
      </w:r>
      <w:r>
        <w:rPr>
          <w:color w:val="010202"/>
        </w:rPr>
        <w:t>the</w:t>
      </w:r>
      <w:r>
        <w:rPr>
          <w:color w:val="010202"/>
          <w:spacing w:val="-4"/>
        </w:rPr>
        <w:t xml:space="preserve"> </w:t>
      </w:r>
      <w:r>
        <w:rPr>
          <w:color w:val="010202"/>
        </w:rPr>
        <w:t>Queensland</w:t>
      </w:r>
      <w:r>
        <w:rPr>
          <w:color w:val="010202"/>
          <w:spacing w:val="-4"/>
        </w:rPr>
        <w:t xml:space="preserve"> </w:t>
      </w:r>
      <w:r>
        <w:rPr>
          <w:color w:val="010202"/>
        </w:rPr>
        <w:t>Law</w:t>
      </w:r>
      <w:r>
        <w:rPr>
          <w:color w:val="010202"/>
          <w:spacing w:val="-5"/>
        </w:rPr>
        <w:t xml:space="preserve"> </w:t>
      </w:r>
      <w:r>
        <w:rPr>
          <w:color w:val="010202"/>
        </w:rPr>
        <w:t>Society</w:t>
      </w:r>
      <w:r>
        <w:rPr>
          <w:color w:val="010202"/>
          <w:spacing w:val="-4"/>
        </w:rPr>
        <w:t xml:space="preserve"> </w:t>
      </w:r>
      <w:r>
        <w:rPr>
          <w:color w:val="010202"/>
        </w:rPr>
        <w:t>on</w:t>
      </w:r>
      <w:r>
        <w:rPr>
          <w:color w:val="010202"/>
          <w:spacing w:val="-5"/>
        </w:rPr>
        <w:t xml:space="preserve"> </w:t>
      </w:r>
      <w:r>
        <w:rPr>
          <w:color w:val="010202"/>
        </w:rPr>
        <w:t>1300</w:t>
      </w:r>
      <w:r>
        <w:rPr>
          <w:color w:val="010202"/>
          <w:spacing w:val="-5"/>
        </w:rPr>
        <w:t xml:space="preserve"> </w:t>
      </w:r>
      <w:r>
        <w:rPr>
          <w:color w:val="010202"/>
        </w:rPr>
        <w:t>367</w:t>
      </w:r>
      <w:r>
        <w:rPr>
          <w:color w:val="010202"/>
          <w:spacing w:val="-5"/>
        </w:rPr>
        <w:t xml:space="preserve"> </w:t>
      </w:r>
      <w:r>
        <w:rPr>
          <w:color w:val="010202"/>
        </w:rPr>
        <w:t>757</w:t>
      </w:r>
      <w:r>
        <w:rPr>
          <w:color w:val="010202"/>
          <w:spacing w:val="-5"/>
        </w:rPr>
        <w:t xml:space="preserve"> </w:t>
      </w:r>
      <w:r>
        <w:rPr>
          <w:color w:val="010202"/>
        </w:rPr>
        <w:t>or</w:t>
      </w:r>
      <w:r>
        <w:rPr>
          <w:color w:val="010202"/>
          <w:spacing w:val="-5"/>
        </w:rPr>
        <w:t xml:space="preserve"> </w:t>
      </w:r>
      <w:r>
        <w:rPr>
          <w:color w:val="010202"/>
        </w:rPr>
        <w:t>visit</w:t>
      </w:r>
      <w:r>
        <w:rPr>
          <w:color w:val="010202"/>
          <w:spacing w:val="-4"/>
        </w:rPr>
        <w:t xml:space="preserve"> </w:t>
      </w:r>
      <w:r>
        <w:rPr>
          <w:color w:val="010202"/>
        </w:rPr>
        <w:t xml:space="preserve"> </w:t>
      </w:r>
      <w:r>
        <w:rPr>
          <w:color w:val="010202"/>
          <w:spacing w:val="-2"/>
        </w:rPr>
        <w:t>qls.com.au/</w:t>
      </w:r>
      <w:proofErr w:type="spellStart"/>
      <w:r>
        <w:rPr>
          <w:color w:val="010202"/>
          <w:spacing w:val="-2"/>
        </w:rPr>
        <w:t>findasolicitor.</w:t>
      </w:r>
      <w:hyperlink r:id="rId145" w:history="1">
        <w:r>
          <w:rPr>
            <w:rStyle w:val="Hyperlink"/>
            <w:color w:val="010202"/>
          </w:rPr>
          <w:t>www</w:t>
        </w:r>
        <w:proofErr w:type="spellEnd"/>
        <w:r>
          <w:rPr>
            <w:rStyle w:val="Hyperlink"/>
            <w:color w:val="010202"/>
          </w:rPr>
          <w:t>.</w:t>
        </w:r>
      </w:hyperlink>
    </w:p>
    <w:p w14:paraId="7CD84314" w14:textId="77777777" w:rsidR="004C1D51" w:rsidRDefault="004C1D51" w:rsidP="004C1D51">
      <w:pPr>
        <w:pStyle w:val="BodyText"/>
        <w:spacing w:before="9"/>
        <w:rPr>
          <w:sz w:val="19"/>
        </w:rPr>
      </w:pPr>
    </w:p>
    <w:p w14:paraId="0F926036" w14:textId="77777777" w:rsidR="004C1D51" w:rsidRDefault="004C1D51" w:rsidP="004C1D51">
      <w:pPr>
        <w:pStyle w:val="Heading1"/>
      </w:pPr>
      <w:bookmarkStart w:id="203" w:name="_Toc131144726"/>
      <w:r>
        <w:rPr>
          <w:color w:val="347A9F"/>
        </w:rPr>
        <w:t>What</w:t>
      </w:r>
      <w:r>
        <w:rPr>
          <w:color w:val="347A9F"/>
          <w:spacing w:val="-4"/>
        </w:rPr>
        <w:t xml:space="preserve"> </w:t>
      </w:r>
      <w:r>
        <w:rPr>
          <w:color w:val="347A9F"/>
        </w:rPr>
        <w:t>should</w:t>
      </w:r>
      <w:r>
        <w:rPr>
          <w:color w:val="347A9F"/>
          <w:spacing w:val="-1"/>
        </w:rPr>
        <w:t xml:space="preserve"> </w:t>
      </w:r>
      <w:r>
        <w:rPr>
          <w:color w:val="347A9F"/>
        </w:rPr>
        <w:t>I</w:t>
      </w:r>
      <w:r>
        <w:rPr>
          <w:color w:val="347A9F"/>
          <w:spacing w:val="-1"/>
        </w:rPr>
        <w:t xml:space="preserve"> </w:t>
      </w:r>
      <w:r>
        <w:rPr>
          <w:color w:val="347A9F"/>
        </w:rPr>
        <w:t>include</w:t>
      </w:r>
      <w:r>
        <w:rPr>
          <w:color w:val="347A9F"/>
          <w:spacing w:val="-2"/>
        </w:rPr>
        <w:t xml:space="preserve"> </w:t>
      </w:r>
      <w:r>
        <w:rPr>
          <w:color w:val="347A9F"/>
        </w:rPr>
        <w:t>in</w:t>
      </w:r>
      <w:r>
        <w:rPr>
          <w:color w:val="347A9F"/>
          <w:spacing w:val="-2"/>
        </w:rPr>
        <w:t xml:space="preserve"> </w:t>
      </w:r>
      <w:r>
        <w:rPr>
          <w:color w:val="347A9F"/>
        </w:rPr>
        <w:t>my</w:t>
      </w:r>
      <w:r>
        <w:rPr>
          <w:color w:val="347A9F"/>
          <w:spacing w:val="-1"/>
        </w:rPr>
        <w:t xml:space="preserve"> </w:t>
      </w:r>
      <w:r>
        <w:rPr>
          <w:color w:val="347A9F"/>
          <w:spacing w:val="-2"/>
        </w:rPr>
        <w:t>complaint?</w:t>
      </w:r>
      <w:bookmarkEnd w:id="203"/>
    </w:p>
    <w:p w14:paraId="7D81BA86" w14:textId="77777777" w:rsidR="004C1D51" w:rsidRDefault="004C1D51" w:rsidP="004C1D51">
      <w:pPr>
        <w:pStyle w:val="BodyText"/>
        <w:spacing w:before="186" w:line="290" w:lineRule="auto"/>
        <w:ind w:left="113" w:right="380"/>
      </w:pPr>
      <w:r>
        <w:rPr>
          <w:color w:val="010202"/>
        </w:rPr>
        <w:t>For</w:t>
      </w:r>
      <w:r>
        <w:rPr>
          <w:color w:val="010202"/>
          <w:spacing w:val="-1"/>
        </w:rPr>
        <w:t xml:space="preserve"> </w:t>
      </w:r>
      <w:r>
        <w:rPr>
          <w:color w:val="010202"/>
        </w:rPr>
        <w:t>us</w:t>
      </w:r>
      <w:r>
        <w:rPr>
          <w:color w:val="010202"/>
          <w:spacing w:val="-2"/>
        </w:rPr>
        <w:t xml:space="preserve"> </w:t>
      </w:r>
      <w:r>
        <w:rPr>
          <w:color w:val="010202"/>
        </w:rPr>
        <w:t>to</w:t>
      </w:r>
      <w:r>
        <w:rPr>
          <w:color w:val="010202"/>
          <w:spacing w:val="-1"/>
        </w:rPr>
        <w:t xml:space="preserve"> </w:t>
      </w:r>
      <w:r>
        <w:rPr>
          <w:color w:val="010202"/>
        </w:rPr>
        <w:t>be</w:t>
      </w:r>
      <w:r>
        <w:rPr>
          <w:color w:val="010202"/>
          <w:spacing w:val="-2"/>
        </w:rPr>
        <w:t xml:space="preserve"> </w:t>
      </w:r>
      <w:r>
        <w:rPr>
          <w:color w:val="010202"/>
        </w:rPr>
        <w:t>able</w:t>
      </w:r>
      <w:r>
        <w:rPr>
          <w:color w:val="010202"/>
          <w:spacing w:val="-2"/>
        </w:rPr>
        <w:t xml:space="preserve"> </w:t>
      </w:r>
      <w:r>
        <w:rPr>
          <w:color w:val="010202"/>
        </w:rPr>
        <w:t>to</w:t>
      </w:r>
      <w:r>
        <w:rPr>
          <w:color w:val="010202"/>
          <w:spacing w:val="-1"/>
        </w:rPr>
        <w:t xml:space="preserve"> </w:t>
      </w:r>
      <w:r>
        <w:rPr>
          <w:color w:val="010202"/>
        </w:rPr>
        <w:t>assess</w:t>
      </w:r>
      <w:r>
        <w:rPr>
          <w:color w:val="010202"/>
          <w:spacing w:val="-2"/>
        </w:rPr>
        <w:t xml:space="preserve"> </w:t>
      </w:r>
      <w:r>
        <w:rPr>
          <w:color w:val="010202"/>
        </w:rPr>
        <w:t>your</w:t>
      </w:r>
      <w:r>
        <w:rPr>
          <w:color w:val="010202"/>
          <w:spacing w:val="-1"/>
        </w:rPr>
        <w:t xml:space="preserve"> </w:t>
      </w:r>
      <w:r>
        <w:rPr>
          <w:color w:val="010202"/>
        </w:rPr>
        <w:t>complaint</w:t>
      </w:r>
      <w:r>
        <w:rPr>
          <w:color w:val="010202"/>
          <w:spacing w:val="-1"/>
        </w:rPr>
        <w:t xml:space="preserve"> </w:t>
      </w:r>
      <w:r>
        <w:rPr>
          <w:color w:val="010202"/>
        </w:rPr>
        <w:t>and</w:t>
      </w:r>
      <w:r>
        <w:rPr>
          <w:color w:val="010202"/>
          <w:spacing w:val="-2"/>
        </w:rPr>
        <w:t xml:space="preserve"> </w:t>
      </w:r>
      <w:r>
        <w:rPr>
          <w:color w:val="010202"/>
        </w:rPr>
        <w:t>see</w:t>
      </w:r>
      <w:r>
        <w:rPr>
          <w:color w:val="010202"/>
          <w:spacing w:val="-1"/>
        </w:rPr>
        <w:t xml:space="preserve"> </w:t>
      </w:r>
      <w:r>
        <w:rPr>
          <w:color w:val="010202"/>
        </w:rPr>
        <w:t>if</w:t>
      </w:r>
      <w:r>
        <w:rPr>
          <w:color w:val="010202"/>
          <w:spacing w:val="-2"/>
        </w:rPr>
        <w:t xml:space="preserve"> </w:t>
      </w:r>
      <w:r>
        <w:rPr>
          <w:color w:val="010202"/>
        </w:rPr>
        <w:t>it</w:t>
      </w:r>
      <w:r>
        <w:rPr>
          <w:color w:val="010202"/>
          <w:spacing w:val="-2"/>
        </w:rPr>
        <w:t xml:space="preserve"> </w:t>
      </w:r>
      <w:r>
        <w:rPr>
          <w:color w:val="010202"/>
        </w:rPr>
        <w:t>is</w:t>
      </w:r>
      <w:r>
        <w:rPr>
          <w:color w:val="010202"/>
          <w:spacing w:val="-2"/>
        </w:rPr>
        <w:t xml:space="preserve"> </w:t>
      </w:r>
      <w:r>
        <w:rPr>
          <w:color w:val="010202"/>
        </w:rPr>
        <w:t>something</w:t>
      </w:r>
      <w:r>
        <w:rPr>
          <w:color w:val="010202"/>
          <w:spacing w:val="-1"/>
        </w:rPr>
        <w:t xml:space="preserve"> </w:t>
      </w:r>
      <w:r>
        <w:rPr>
          <w:color w:val="010202"/>
        </w:rPr>
        <w:t>we</w:t>
      </w:r>
      <w:r>
        <w:rPr>
          <w:color w:val="010202"/>
          <w:spacing w:val="-2"/>
        </w:rPr>
        <w:t xml:space="preserve"> </w:t>
      </w:r>
      <w:r>
        <w:rPr>
          <w:color w:val="010202"/>
        </w:rPr>
        <w:t>are</w:t>
      </w:r>
      <w:r>
        <w:rPr>
          <w:color w:val="010202"/>
          <w:spacing w:val="-2"/>
        </w:rPr>
        <w:t xml:space="preserve"> </w:t>
      </w:r>
      <w:r>
        <w:rPr>
          <w:color w:val="010202"/>
        </w:rPr>
        <w:t>able</w:t>
      </w:r>
      <w:r>
        <w:rPr>
          <w:color w:val="010202"/>
          <w:spacing w:val="-2"/>
        </w:rPr>
        <w:t xml:space="preserve"> </w:t>
      </w:r>
      <w:r>
        <w:rPr>
          <w:color w:val="010202"/>
        </w:rPr>
        <w:t>to</w:t>
      </w:r>
      <w:r>
        <w:rPr>
          <w:color w:val="010202"/>
          <w:spacing w:val="-1"/>
        </w:rPr>
        <w:t xml:space="preserve"> </w:t>
      </w:r>
      <w:r>
        <w:rPr>
          <w:color w:val="010202"/>
        </w:rPr>
        <w:t>deal</w:t>
      </w:r>
      <w:r>
        <w:rPr>
          <w:color w:val="010202"/>
          <w:spacing w:val="-2"/>
        </w:rPr>
        <w:t xml:space="preserve"> </w:t>
      </w:r>
      <w:r>
        <w:rPr>
          <w:color w:val="010202"/>
        </w:rPr>
        <w:t>with,</w:t>
      </w:r>
      <w:r>
        <w:rPr>
          <w:color w:val="010202"/>
          <w:spacing w:val="-2"/>
        </w:rPr>
        <w:t xml:space="preserve"> </w:t>
      </w:r>
      <w:r>
        <w:rPr>
          <w:color w:val="010202"/>
        </w:rPr>
        <w:t>you need to include enough information about what happened to you. Make sure you include details like who was responsible, where, when and when, and what happened.</w:t>
      </w:r>
    </w:p>
    <w:p w14:paraId="74DDAEBF" w14:textId="77777777" w:rsidR="004C1D51" w:rsidRDefault="004C1D51" w:rsidP="004C1D51">
      <w:pPr>
        <w:pStyle w:val="BodyText"/>
        <w:spacing w:before="168"/>
        <w:ind w:left="113"/>
      </w:pPr>
      <w:r>
        <w:rPr>
          <w:color w:val="010202"/>
        </w:rPr>
        <w:t>When</w:t>
      </w:r>
      <w:r>
        <w:rPr>
          <w:color w:val="010202"/>
          <w:spacing w:val="-2"/>
        </w:rPr>
        <w:t xml:space="preserve"> </w:t>
      </w:r>
      <w:r>
        <w:rPr>
          <w:color w:val="010202"/>
        </w:rPr>
        <w:t>lodging</w:t>
      </w:r>
      <w:r>
        <w:rPr>
          <w:color w:val="010202"/>
          <w:spacing w:val="-2"/>
        </w:rPr>
        <w:t xml:space="preserve"> </w:t>
      </w:r>
      <w:r>
        <w:rPr>
          <w:color w:val="010202"/>
        </w:rPr>
        <w:t>a</w:t>
      </w:r>
      <w:r>
        <w:rPr>
          <w:color w:val="010202"/>
          <w:spacing w:val="-2"/>
        </w:rPr>
        <w:t xml:space="preserve"> </w:t>
      </w:r>
      <w:r>
        <w:rPr>
          <w:color w:val="010202"/>
        </w:rPr>
        <w:t>complaint,</w:t>
      </w:r>
      <w:r>
        <w:rPr>
          <w:color w:val="010202"/>
          <w:spacing w:val="-1"/>
        </w:rPr>
        <w:t xml:space="preserve"> </w:t>
      </w:r>
      <w:r>
        <w:rPr>
          <w:color w:val="010202"/>
        </w:rPr>
        <w:t>we</w:t>
      </w:r>
      <w:r>
        <w:rPr>
          <w:color w:val="010202"/>
          <w:spacing w:val="-3"/>
        </w:rPr>
        <w:t xml:space="preserve"> </w:t>
      </w:r>
      <w:r>
        <w:rPr>
          <w:color w:val="010202"/>
        </w:rPr>
        <w:t>ask</w:t>
      </w:r>
      <w:r>
        <w:rPr>
          <w:color w:val="010202"/>
          <w:spacing w:val="-2"/>
        </w:rPr>
        <w:t xml:space="preserve"> </w:t>
      </w:r>
      <w:r>
        <w:rPr>
          <w:color w:val="010202"/>
        </w:rPr>
        <w:t>that</w:t>
      </w:r>
      <w:r>
        <w:rPr>
          <w:color w:val="010202"/>
          <w:spacing w:val="-1"/>
        </w:rPr>
        <w:t xml:space="preserve"> </w:t>
      </w:r>
      <w:r>
        <w:rPr>
          <w:color w:val="010202"/>
        </w:rPr>
        <w:t>you</w:t>
      </w:r>
      <w:r>
        <w:rPr>
          <w:color w:val="010202"/>
          <w:spacing w:val="-1"/>
        </w:rPr>
        <w:t xml:space="preserve"> </w:t>
      </w:r>
      <w:r>
        <w:rPr>
          <w:color w:val="010202"/>
        </w:rPr>
        <w:t>do</w:t>
      </w:r>
      <w:r>
        <w:rPr>
          <w:color w:val="010202"/>
          <w:spacing w:val="-2"/>
        </w:rPr>
        <w:t xml:space="preserve"> </w:t>
      </w:r>
      <w:r>
        <w:rPr>
          <w:color w:val="010202"/>
        </w:rPr>
        <w:t>NOT</w:t>
      </w:r>
      <w:r>
        <w:rPr>
          <w:color w:val="010202"/>
          <w:spacing w:val="-5"/>
        </w:rPr>
        <w:t xml:space="preserve"> </w:t>
      </w:r>
      <w:r>
        <w:rPr>
          <w:color w:val="010202"/>
          <w:spacing w:val="-2"/>
        </w:rPr>
        <w:t>provide:</w:t>
      </w:r>
    </w:p>
    <w:p w14:paraId="7785D031" w14:textId="77777777" w:rsidR="004C1D51" w:rsidRDefault="004C1D51" w:rsidP="004C1D51">
      <w:pPr>
        <w:pStyle w:val="BodyText"/>
        <w:spacing w:before="2"/>
        <w:rPr>
          <w:sz w:val="19"/>
        </w:rPr>
      </w:pPr>
    </w:p>
    <w:p w14:paraId="6390DCE9"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more</w:t>
      </w:r>
      <w:r>
        <w:rPr>
          <w:color w:val="010202"/>
          <w:spacing w:val="-5"/>
          <w:sz w:val="20"/>
        </w:rPr>
        <w:t xml:space="preserve"> </w:t>
      </w:r>
      <w:r>
        <w:rPr>
          <w:color w:val="010202"/>
          <w:sz w:val="20"/>
        </w:rPr>
        <w:t>than</w:t>
      </w:r>
      <w:r>
        <w:rPr>
          <w:color w:val="010202"/>
          <w:spacing w:val="-3"/>
          <w:sz w:val="20"/>
        </w:rPr>
        <w:t xml:space="preserve"> </w:t>
      </w:r>
      <w:r>
        <w:rPr>
          <w:color w:val="010202"/>
          <w:sz w:val="20"/>
        </w:rPr>
        <w:t>20</w:t>
      </w:r>
      <w:r>
        <w:rPr>
          <w:color w:val="010202"/>
          <w:spacing w:val="-3"/>
          <w:sz w:val="20"/>
        </w:rPr>
        <w:t xml:space="preserve"> </w:t>
      </w:r>
      <w:r>
        <w:rPr>
          <w:color w:val="010202"/>
          <w:sz w:val="20"/>
        </w:rPr>
        <w:t>pages</w:t>
      </w:r>
      <w:r>
        <w:rPr>
          <w:color w:val="010202"/>
          <w:spacing w:val="-4"/>
          <w:sz w:val="20"/>
        </w:rPr>
        <w:t xml:space="preserve"> </w:t>
      </w:r>
      <w:r>
        <w:rPr>
          <w:color w:val="010202"/>
          <w:sz w:val="20"/>
        </w:rPr>
        <w:t>including</w:t>
      </w:r>
      <w:r>
        <w:rPr>
          <w:color w:val="010202"/>
          <w:spacing w:val="-3"/>
          <w:sz w:val="20"/>
        </w:rPr>
        <w:t xml:space="preserve"> </w:t>
      </w:r>
      <w:r>
        <w:rPr>
          <w:color w:val="010202"/>
          <w:spacing w:val="-2"/>
          <w:sz w:val="20"/>
        </w:rPr>
        <w:t>attachments</w:t>
      </w:r>
    </w:p>
    <w:p w14:paraId="4777D340"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zip</w:t>
      </w:r>
      <w:r>
        <w:rPr>
          <w:color w:val="010202"/>
          <w:spacing w:val="-3"/>
          <w:sz w:val="20"/>
        </w:rPr>
        <w:t xml:space="preserve"> </w:t>
      </w:r>
      <w:r>
        <w:rPr>
          <w:color w:val="010202"/>
          <w:sz w:val="20"/>
        </w:rPr>
        <w:t>files</w:t>
      </w:r>
      <w:r>
        <w:rPr>
          <w:color w:val="010202"/>
          <w:spacing w:val="-2"/>
          <w:sz w:val="20"/>
        </w:rPr>
        <w:t xml:space="preserve"> </w:t>
      </w:r>
      <w:r>
        <w:rPr>
          <w:color w:val="010202"/>
          <w:sz w:val="20"/>
        </w:rPr>
        <w:t>or</w:t>
      </w:r>
      <w:r>
        <w:rPr>
          <w:color w:val="010202"/>
          <w:spacing w:val="-1"/>
          <w:sz w:val="20"/>
        </w:rPr>
        <w:t xml:space="preserve"> </w:t>
      </w:r>
      <w:r>
        <w:rPr>
          <w:color w:val="010202"/>
          <w:sz w:val="20"/>
        </w:rPr>
        <w:t>drop</w:t>
      </w:r>
      <w:r>
        <w:rPr>
          <w:color w:val="010202"/>
          <w:spacing w:val="-2"/>
          <w:sz w:val="20"/>
        </w:rPr>
        <w:t xml:space="preserve"> boxes</w:t>
      </w:r>
    </w:p>
    <w:p w14:paraId="5AF01AB6"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links</w:t>
      </w:r>
      <w:r>
        <w:rPr>
          <w:color w:val="010202"/>
          <w:spacing w:val="-2"/>
          <w:sz w:val="20"/>
        </w:rPr>
        <w:t xml:space="preserve"> </w:t>
      </w:r>
      <w:r>
        <w:rPr>
          <w:color w:val="010202"/>
          <w:sz w:val="20"/>
        </w:rPr>
        <w:t>to</w:t>
      </w:r>
      <w:r>
        <w:rPr>
          <w:color w:val="010202"/>
          <w:spacing w:val="-1"/>
          <w:sz w:val="20"/>
        </w:rPr>
        <w:t xml:space="preserve"> </w:t>
      </w:r>
      <w:r>
        <w:rPr>
          <w:color w:val="010202"/>
          <w:sz w:val="20"/>
        </w:rPr>
        <w:t>follow</w:t>
      </w:r>
      <w:r>
        <w:rPr>
          <w:color w:val="010202"/>
          <w:spacing w:val="-1"/>
          <w:sz w:val="20"/>
        </w:rPr>
        <w:t xml:space="preserve"> </w:t>
      </w:r>
      <w:r>
        <w:rPr>
          <w:color w:val="010202"/>
          <w:sz w:val="20"/>
        </w:rPr>
        <w:t>(we</w:t>
      </w:r>
      <w:r>
        <w:rPr>
          <w:color w:val="010202"/>
          <w:spacing w:val="-2"/>
          <w:sz w:val="20"/>
        </w:rPr>
        <w:t xml:space="preserve"> </w:t>
      </w:r>
      <w:r>
        <w:rPr>
          <w:color w:val="010202"/>
          <w:sz w:val="20"/>
        </w:rPr>
        <w:t>do</w:t>
      </w:r>
      <w:r>
        <w:rPr>
          <w:color w:val="010202"/>
          <w:spacing w:val="-1"/>
          <w:sz w:val="20"/>
        </w:rPr>
        <w:t xml:space="preserve"> </w:t>
      </w:r>
      <w:r>
        <w:rPr>
          <w:color w:val="010202"/>
          <w:sz w:val="20"/>
        </w:rPr>
        <w:t>not</w:t>
      </w:r>
      <w:r>
        <w:rPr>
          <w:color w:val="010202"/>
          <w:spacing w:val="-2"/>
          <w:sz w:val="20"/>
        </w:rPr>
        <w:t xml:space="preserve"> </w:t>
      </w:r>
      <w:r>
        <w:rPr>
          <w:color w:val="010202"/>
          <w:sz w:val="20"/>
        </w:rPr>
        <w:t>follow</w:t>
      </w:r>
      <w:r>
        <w:rPr>
          <w:color w:val="010202"/>
          <w:spacing w:val="-1"/>
          <w:sz w:val="20"/>
        </w:rPr>
        <w:t xml:space="preserve"> </w:t>
      </w:r>
      <w:r>
        <w:rPr>
          <w:color w:val="010202"/>
          <w:spacing w:val="-2"/>
          <w:sz w:val="20"/>
        </w:rPr>
        <w:t>links)</w:t>
      </w:r>
    </w:p>
    <w:p w14:paraId="483D9780" w14:textId="77777777" w:rsidR="004C1D51" w:rsidRDefault="004C1D51" w:rsidP="004C1D51">
      <w:pPr>
        <w:pStyle w:val="BodyText"/>
        <w:spacing w:before="8"/>
        <w:rPr>
          <w:sz w:val="21"/>
        </w:rPr>
      </w:pPr>
    </w:p>
    <w:p w14:paraId="7DE9EC1A" w14:textId="77777777" w:rsidR="004C1D51" w:rsidRDefault="004C1D51" w:rsidP="004C1D51">
      <w:pPr>
        <w:pStyle w:val="BodyText"/>
        <w:spacing w:before="1" w:line="290" w:lineRule="auto"/>
        <w:ind w:left="113"/>
      </w:pPr>
      <w:r>
        <w:rPr>
          <w:color w:val="010202"/>
        </w:rPr>
        <w:t>You</w:t>
      </w:r>
      <w:r>
        <w:rPr>
          <w:color w:val="010202"/>
          <w:spacing w:val="-3"/>
        </w:rPr>
        <w:t xml:space="preserve"> </w:t>
      </w:r>
      <w:r>
        <w:rPr>
          <w:color w:val="010202"/>
        </w:rPr>
        <w:t>also</w:t>
      </w:r>
      <w:r>
        <w:rPr>
          <w:color w:val="010202"/>
          <w:spacing w:val="-4"/>
        </w:rPr>
        <w:t xml:space="preserve"> </w:t>
      </w:r>
      <w:r>
        <w:rPr>
          <w:color w:val="010202"/>
        </w:rPr>
        <w:t>need</w:t>
      </w:r>
      <w:r>
        <w:rPr>
          <w:color w:val="010202"/>
          <w:spacing w:val="-4"/>
        </w:rPr>
        <w:t xml:space="preserve"> </w:t>
      </w:r>
      <w:r>
        <w:rPr>
          <w:color w:val="010202"/>
        </w:rPr>
        <w:t>to</w:t>
      </w:r>
      <w:r>
        <w:rPr>
          <w:color w:val="010202"/>
          <w:spacing w:val="-3"/>
        </w:rPr>
        <w:t xml:space="preserve"> </w:t>
      </w:r>
      <w:r>
        <w:rPr>
          <w:color w:val="010202"/>
        </w:rPr>
        <w:t>give</w:t>
      </w:r>
      <w:r>
        <w:rPr>
          <w:color w:val="010202"/>
          <w:spacing w:val="-4"/>
        </w:rPr>
        <w:t xml:space="preserve"> </w:t>
      </w:r>
      <w:r>
        <w:rPr>
          <w:color w:val="010202"/>
        </w:rPr>
        <w:t>us</w:t>
      </w:r>
      <w:r>
        <w:rPr>
          <w:color w:val="010202"/>
          <w:spacing w:val="-4"/>
        </w:rPr>
        <w:t xml:space="preserve"> </w:t>
      </w:r>
      <w:r>
        <w:rPr>
          <w:color w:val="010202"/>
        </w:rPr>
        <w:t>your</w:t>
      </w:r>
      <w:r>
        <w:rPr>
          <w:color w:val="010202"/>
          <w:spacing w:val="-3"/>
        </w:rPr>
        <w:t xml:space="preserve"> </w:t>
      </w:r>
      <w:r>
        <w:rPr>
          <w:color w:val="010202"/>
        </w:rPr>
        <w:t>name</w:t>
      </w:r>
      <w:r>
        <w:rPr>
          <w:color w:val="010202"/>
          <w:spacing w:val="-4"/>
        </w:rPr>
        <w:t xml:space="preserve"> </w:t>
      </w:r>
      <w:r>
        <w:rPr>
          <w:color w:val="010202"/>
        </w:rPr>
        <w:t>and</w:t>
      </w:r>
      <w:r>
        <w:rPr>
          <w:color w:val="010202"/>
          <w:spacing w:val="-4"/>
        </w:rPr>
        <w:t xml:space="preserve"> </w:t>
      </w:r>
      <w:r>
        <w:rPr>
          <w:color w:val="010202"/>
        </w:rPr>
        <w:t>contact</w:t>
      </w:r>
      <w:r>
        <w:rPr>
          <w:color w:val="010202"/>
          <w:spacing w:val="-3"/>
        </w:rPr>
        <w:t xml:space="preserve"> </w:t>
      </w:r>
      <w:r>
        <w:rPr>
          <w:color w:val="010202"/>
        </w:rPr>
        <w:t>details.</w:t>
      </w:r>
      <w:r>
        <w:rPr>
          <w:color w:val="010202"/>
          <w:spacing w:val="-4"/>
        </w:rPr>
        <w:t xml:space="preserve"> </w:t>
      </w:r>
      <w:r>
        <w:rPr>
          <w:color w:val="010202"/>
        </w:rPr>
        <w:t>It</w:t>
      </w:r>
      <w:r>
        <w:rPr>
          <w:color w:val="010202"/>
          <w:spacing w:val="-3"/>
        </w:rPr>
        <w:t xml:space="preserve"> </w:t>
      </w:r>
      <w:r>
        <w:rPr>
          <w:color w:val="010202"/>
        </w:rPr>
        <w:t>is</w:t>
      </w:r>
      <w:r>
        <w:rPr>
          <w:color w:val="010202"/>
          <w:spacing w:val="-4"/>
        </w:rPr>
        <w:t xml:space="preserve"> </w:t>
      </w:r>
      <w:r>
        <w:rPr>
          <w:color w:val="010202"/>
        </w:rPr>
        <w:t>not</w:t>
      </w:r>
      <w:r>
        <w:rPr>
          <w:color w:val="010202"/>
          <w:spacing w:val="-4"/>
        </w:rPr>
        <w:t xml:space="preserve"> </w:t>
      </w:r>
      <w:r>
        <w:rPr>
          <w:color w:val="010202"/>
        </w:rPr>
        <w:t>possible</w:t>
      </w:r>
      <w:r>
        <w:rPr>
          <w:color w:val="010202"/>
          <w:spacing w:val="-4"/>
        </w:rPr>
        <w:t xml:space="preserve"> </w:t>
      </w:r>
      <w:r>
        <w:rPr>
          <w:color w:val="010202"/>
        </w:rPr>
        <w:t>to</w:t>
      </w:r>
      <w:r>
        <w:rPr>
          <w:color w:val="010202"/>
          <w:spacing w:val="-3"/>
        </w:rPr>
        <w:t xml:space="preserve"> </w:t>
      </w:r>
      <w:r>
        <w:rPr>
          <w:color w:val="010202"/>
        </w:rPr>
        <w:t>make</w:t>
      </w:r>
      <w:r>
        <w:rPr>
          <w:color w:val="010202"/>
          <w:spacing w:val="-3"/>
        </w:rPr>
        <w:t xml:space="preserve"> </w:t>
      </w:r>
      <w:r>
        <w:rPr>
          <w:color w:val="010202"/>
        </w:rPr>
        <w:t>a</w:t>
      </w:r>
      <w:r>
        <w:rPr>
          <w:color w:val="010202"/>
          <w:spacing w:val="-4"/>
        </w:rPr>
        <w:t xml:space="preserve"> </w:t>
      </w:r>
      <w:r>
        <w:rPr>
          <w:color w:val="010202"/>
        </w:rPr>
        <w:t xml:space="preserve">complaint </w:t>
      </w:r>
      <w:r>
        <w:rPr>
          <w:color w:val="010202"/>
          <w:spacing w:val="-2"/>
        </w:rPr>
        <w:t>anonymously.</w:t>
      </w:r>
    </w:p>
    <w:p w14:paraId="1666AC78" w14:textId="5D011A32" w:rsidR="004C1D51" w:rsidRDefault="004C1D51" w:rsidP="0047630B">
      <w:pPr>
        <w:pStyle w:val="BodyText"/>
        <w:spacing w:before="168" w:line="290" w:lineRule="auto"/>
        <w:ind w:left="113" w:right="631"/>
        <w:sectPr w:rsidR="004C1D51" w:rsidSect="0047630B">
          <w:pgSz w:w="11910" w:h="16840"/>
          <w:pgMar w:top="568" w:right="1680" w:bottom="740" w:left="1020" w:header="0" w:footer="548" w:gutter="0"/>
          <w:cols w:space="720"/>
        </w:sectPr>
      </w:pPr>
      <w:r>
        <w:rPr>
          <w:color w:val="010202"/>
        </w:rPr>
        <w:t xml:space="preserve">Be aware that everything you send us as part of your complaint will be sent to the person or </w:t>
      </w:r>
      <w:proofErr w:type="spellStart"/>
      <w:r>
        <w:rPr>
          <w:color w:val="010202"/>
        </w:rPr>
        <w:t>organisation</w:t>
      </w:r>
      <w:proofErr w:type="spellEnd"/>
      <w:r>
        <w:rPr>
          <w:color w:val="010202"/>
        </w:rPr>
        <w:t xml:space="preserve"> you are complaining about, including the address you give for the delivery of mail. If</w:t>
      </w:r>
      <w:r>
        <w:rPr>
          <w:color w:val="010202"/>
          <w:spacing w:val="-2"/>
        </w:rPr>
        <w:t xml:space="preserve"> </w:t>
      </w:r>
      <w:r>
        <w:rPr>
          <w:color w:val="010202"/>
        </w:rPr>
        <w:t>you</w:t>
      </w:r>
      <w:r>
        <w:rPr>
          <w:color w:val="010202"/>
          <w:spacing w:val="-2"/>
        </w:rPr>
        <w:t xml:space="preserve"> </w:t>
      </w:r>
      <w:r>
        <w:rPr>
          <w:color w:val="010202"/>
        </w:rPr>
        <w:t>want</w:t>
      </w:r>
      <w:r>
        <w:rPr>
          <w:color w:val="010202"/>
          <w:spacing w:val="-3"/>
        </w:rPr>
        <w:t xml:space="preserve"> </w:t>
      </w:r>
      <w:r>
        <w:rPr>
          <w:color w:val="010202"/>
        </w:rPr>
        <w:t>to</w:t>
      </w:r>
      <w:r>
        <w:rPr>
          <w:color w:val="010202"/>
          <w:spacing w:val="-2"/>
        </w:rPr>
        <w:t xml:space="preserve"> </w:t>
      </w:r>
      <w:r>
        <w:rPr>
          <w:color w:val="010202"/>
        </w:rPr>
        <w:t>keep</w:t>
      </w:r>
      <w:r>
        <w:rPr>
          <w:color w:val="010202"/>
          <w:spacing w:val="-2"/>
        </w:rPr>
        <w:t xml:space="preserve"> </w:t>
      </w:r>
      <w:r>
        <w:rPr>
          <w:color w:val="010202"/>
        </w:rPr>
        <w:t>your</w:t>
      </w:r>
      <w:r>
        <w:rPr>
          <w:color w:val="010202"/>
          <w:spacing w:val="-2"/>
        </w:rPr>
        <w:t xml:space="preserve"> </w:t>
      </w:r>
      <w:r>
        <w:rPr>
          <w:color w:val="010202"/>
        </w:rPr>
        <w:t>home</w:t>
      </w:r>
      <w:r>
        <w:rPr>
          <w:color w:val="010202"/>
          <w:spacing w:val="-3"/>
        </w:rPr>
        <w:t xml:space="preserve"> </w:t>
      </w:r>
      <w:r>
        <w:rPr>
          <w:color w:val="010202"/>
        </w:rPr>
        <w:t>address</w:t>
      </w:r>
      <w:r>
        <w:rPr>
          <w:color w:val="010202"/>
          <w:spacing w:val="-3"/>
        </w:rPr>
        <w:t xml:space="preserve"> </w:t>
      </w:r>
      <w:r>
        <w:rPr>
          <w:color w:val="010202"/>
        </w:rPr>
        <w:t>private,</w:t>
      </w:r>
      <w:r>
        <w:rPr>
          <w:color w:val="010202"/>
          <w:spacing w:val="-3"/>
        </w:rPr>
        <w:t xml:space="preserve"> </w:t>
      </w:r>
      <w:r>
        <w:rPr>
          <w:color w:val="010202"/>
        </w:rPr>
        <w:t>you</w:t>
      </w:r>
      <w:r>
        <w:rPr>
          <w:color w:val="010202"/>
          <w:spacing w:val="-2"/>
        </w:rPr>
        <w:t xml:space="preserve"> </w:t>
      </w:r>
      <w:r>
        <w:rPr>
          <w:color w:val="010202"/>
        </w:rPr>
        <w:t>can</w:t>
      </w:r>
      <w:r>
        <w:rPr>
          <w:color w:val="010202"/>
          <w:spacing w:val="-2"/>
        </w:rPr>
        <w:t xml:space="preserve"> </w:t>
      </w:r>
      <w:r>
        <w:rPr>
          <w:color w:val="010202"/>
        </w:rPr>
        <w:t>use</w:t>
      </w:r>
      <w:r>
        <w:rPr>
          <w:color w:val="010202"/>
          <w:spacing w:val="-3"/>
        </w:rPr>
        <w:t xml:space="preserve"> </w:t>
      </w:r>
      <w:r>
        <w:rPr>
          <w:color w:val="010202"/>
        </w:rPr>
        <w:t>an</w:t>
      </w:r>
      <w:r>
        <w:rPr>
          <w:color w:val="010202"/>
          <w:spacing w:val="-3"/>
        </w:rPr>
        <w:t xml:space="preserve"> </w:t>
      </w:r>
      <w:r>
        <w:rPr>
          <w:color w:val="010202"/>
        </w:rPr>
        <w:t>email</w:t>
      </w:r>
      <w:r>
        <w:rPr>
          <w:color w:val="010202"/>
          <w:spacing w:val="-3"/>
        </w:rPr>
        <w:t xml:space="preserve"> </w:t>
      </w:r>
      <w:r>
        <w:rPr>
          <w:color w:val="010202"/>
        </w:rPr>
        <w:t>address,</w:t>
      </w:r>
      <w:r>
        <w:rPr>
          <w:color w:val="010202"/>
          <w:spacing w:val="-3"/>
        </w:rPr>
        <w:t xml:space="preserve"> </w:t>
      </w:r>
      <w:r>
        <w:rPr>
          <w:color w:val="010202"/>
        </w:rPr>
        <w:t>a</w:t>
      </w:r>
      <w:r>
        <w:rPr>
          <w:color w:val="010202"/>
          <w:spacing w:val="-3"/>
        </w:rPr>
        <w:t xml:space="preserve"> </w:t>
      </w:r>
      <w:r>
        <w:rPr>
          <w:color w:val="010202"/>
        </w:rPr>
        <w:t>PO</w:t>
      </w:r>
      <w:r>
        <w:rPr>
          <w:color w:val="010202"/>
          <w:spacing w:val="-2"/>
        </w:rPr>
        <w:t xml:space="preserve"> </w:t>
      </w:r>
      <w:r>
        <w:rPr>
          <w:color w:val="010202"/>
        </w:rPr>
        <w:t>Box,</w:t>
      </w:r>
      <w:r>
        <w:rPr>
          <w:color w:val="010202"/>
          <w:spacing w:val="-2"/>
        </w:rPr>
        <w:t xml:space="preserve"> </w:t>
      </w:r>
      <w:r>
        <w:rPr>
          <w:color w:val="010202"/>
        </w:rPr>
        <w:t>or</w:t>
      </w:r>
      <w:r>
        <w:rPr>
          <w:color w:val="010202"/>
          <w:spacing w:val="-3"/>
        </w:rPr>
        <w:t xml:space="preserve"> </w:t>
      </w:r>
      <w:r>
        <w:rPr>
          <w:color w:val="010202"/>
        </w:rPr>
        <w:t xml:space="preserve">the address of an </w:t>
      </w:r>
      <w:proofErr w:type="spellStart"/>
      <w:r>
        <w:rPr>
          <w:color w:val="010202"/>
        </w:rPr>
        <w:t>organisation</w:t>
      </w:r>
      <w:proofErr w:type="spellEnd"/>
      <w:r>
        <w:rPr>
          <w:color w:val="010202"/>
        </w:rPr>
        <w:t>, lawyer, or other reliable person.</w:t>
      </w:r>
    </w:p>
    <w:p w14:paraId="7A9E6157" w14:textId="2DCD1016" w:rsidR="004C1D51" w:rsidRDefault="004C1D51" w:rsidP="004C1D51">
      <w:pPr>
        <w:pStyle w:val="BodyText"/>
      </w:pPr>
    </w:p>
    <w:p w14:paraId="29093CD8" w14:textId="77777777" w:rsidR="004C1D51" w:rsidRDefault="004C1D51" w:rsidP="004C1D51">
      <w:pPr>
        <w:pStyle w:val="Heading1"/>
        <w:spacing w:before="230"/>
      </w:pPr>
      <w:bookmarkStart w:id="204" w:name="_Toc131144727"/>
      <w:r>
        <w:rPr>
          <w:color w:val="347A9F"/>
        </w:rPr>
        <w:t>Can</w:t>
      </w:r>
      <w:r>
        <w:rPr>
          <w:color w:val="347A9F"/>
          <w:spacing w:val="-4"/>
        </w:rPr>
        <w:t xml:space="preserve"> </w:t>
      </w:r>
      <w:r>
        <w:rPr>
          <w:color w:val="347A9F"/>
        </w:rPr>
        <w:t>I</w:t>
      </w:r>
      <w:r>
        <w:rPr>
          <w:color w:val="347A9F"/>
          <w:spacing w:val="-2"/>
        </w:rPr>
        <w:t xml:space="preserve"> </w:t>
      </w:r>
      <w:r>
        <w:rPr>
          <w:color w:val="347A9F"/>
        </w:rPr>
        <w:t>withdraw</w:t>
      </w:r>
      <w:r>
        <w:rPr>
          <w:color w:val="347A9F"/>
          <w:spacing w:val="-3"/>
        </w:rPr>
        <w:t xml:space="preserve"> </w:t>
      </w:r>
      <w:r>
        <w:rPr>
          <w:color w:val="347A9F"/>
        </w:rPr>
        <w:t>my</w:t>
      </w:r>
      <w:r>
        <w:rPr>
          <w:color w:val="347A9F"/>
          <w:spacing w:val="-2"/>
        </w:rPr>
        <w:t xml:space="preserve"> complaint?</w:t>
      </w:r>
      <w:bookmarkEnd w:id="204"/>
    </w:p>
    <w:p w14:paraId="626FF638" w14:textId="77777777" w:rsidR="004C1D51" w:rsidRDefault="004C1D51" w:rsidP="004C1D51">
      <w:pPr>
        <w:pStyle w:val="BodyText"/>
        <w:spacing w:before="187"/>
        <w:ind w:left="113"/>
      </w:pPr>
      <w:r>
        <w:rPr>
          <w:color w:val="010202"/>
        </w:rPr>
        <w:t>Yes.</w:t>
      </w:r>
      <w:r>
        <w:rPr>
          <w:color w:val="010202"/>
          <w:spacing w:val="-13"/>
        </w:rPr>
        <w:t xml:space="preserve"> </w:t>
      </w:r>
      <w:r>
        <w:rPr>
          <w:color w:val="010202"/>
        </w:rPr>
        <w:t>You</w:t>
      </w:r>
      <w:r>
        <w:rPr>
          <w:color w:val="010202"/>
          <w:spacing w:val="-7"/>
        </w:rPr>
        <w:t xml:space="preserve"> </w:t>
      </w:r>
      <w:r>
        <w:rPr>
          <w:color w:val="010202"/>
        </w:rPr>
        <w:t>can</w:t>
      </w:r>
      <w:r>
        <w:rPr>
          <w:color w:val="010202"/>
          <w:spacing w:val="-6"/>
        </w:rPr>
        <w:t xml:space="preserve"> </w:t>
      </w:r>
      <w:r>
        <w:rPr>
          <w:color w:val="010202"/>
        </w:rPr>
        <w:t>withdraw</w:t>
      </w:r>
      <w:r>
        <w:rPr>
          <w:color w:val="010202"/>
          <w:spacing w:val="-8"/>
        </w:rPr>
        <w:t xml:space="preserve"> </w:t>
      </w:r>
      <w:r>
        <w:rPr>
          <w:color w:val="010202"/>
        </w:rPr>
        <w:t>a</w:t>
      </w:r>
      <w:r>
        <w:rPr>
          <w:color w:val="010202"/>
          <w:spacing w:val="-7"/>
        </w:rPr>
        <w:t xml:space="preserve"> </w:t>
      </w:r>
      <w:r>
        <w:rPr>
          <w:color w:val="010202"/>
        </w:rPr>
        <w:t>complaint</w:t>
      </w:r>
      <w:r>
        <w:rPr>
          <w:color w:val="010202"/>
          <w:spacing w:val="-7"/>
        </w:rPr>
        <w:t xml:space="preserve"> </w:t>
      </w:r>
      <w:r>
        <w:rPr>
          <w:color w:val="010202"/>
        </w:rPr>
        <w:t>at</w:t>
      </w:r>
      <w:r>
        <w:rPr>
          <w:color w:val="010202"/>
          <w:spacing w:val="-7"/>
        </w:rPr>
        <w:t xml:space="preserve"> </w:t>
      </w:r>
      <w:r>
        <w:rPr>
          <w:color w:val="010202"/>
        </w:rPr>
        <w:t>any</w:t>
      </w:r>
      <w:r>
        <w:rPr>
          <w:color w:val="010202"/>
          <w:spacing w:val="-7"/>
        </w:rPr>
        <w:t xml:space="preserve"> </w:t>
      </w:r>
      <w:r>
        <w:rPr>
          <w:color w:val="010202"/>
          <w:spacing w:val="-2"/>
        </w:rPr>
        <w:t>stage.</w:t>
      </w:r>
    </w:p>
    <w:p w14:paraId="7C45B4AE" w14:textId="77777777" w:rsidR="004C1D51" w:rsidRDefault="004C1D51" w:rsidP="004C1D51">
      <w:pPr>
        <w:pStyle w:val="BodyText"/>
        <w:spacing w:before="2"/>
        <w:rPr>
          <w:sz w:val="24"/>
        </w:rPr>
      </w:pPr>
    </w:p>
    <w:p w14:paraId="19317E76" w14:textId="77777777" w:rsidR="004C1D51" w:rsidRDefault="004C1D51" w:rsidP="004C1D51">
      <w:pPr>
        <w:pStyle w:val="Heading1"/>
      </w:pPr>
      <w:bookmarkStart w:id="205" w:name="_Toc131144728"/>
      <w:r>
        <w:rPr>
          <w:color w:val="347A9F"/>
        </w:rPr>
        <w:t>What</w:t>
      </w:r>
      <w:r>
        <w:rPr>
          <w:color w:val="347A9F"/>
          <w:spacing w:val="-3"/>
        </w:rPr>
        <w:t xml:space="preserve"> </w:t>
      </w:r>
      <w:r>
        <w:rPr>
          <w:color w:val="347A9F"/>
        </w:rPr>
        <w:t>happens</w:t>
      </w:r>
      <w:r>
        <w:rPr>
          <w:color w:val="347A9F"/>
          <w:spacing w:val="-3"/>
        </w:rPr>
        <w:t xml:space="preserve"> </w:t>
      </w:r>
      <w:r>
        <w:rPr>
          <w:color w:val="347A9F"/>
        </w:rPr>
        <w:t>with</w:t>
      </w:r>
      <w:r>
        <w:rPr>
          <w:color w:val="347A9F"/>
          <w:spacing w:val="-3"/>
        </w:rPr>
        <w:t xml:space="preserve"> </w:t>
      </w:r>
      <w:r>
        <w:rPr>
          <w:color w:val="347A9F"/>
        </w:rPr>
        <w:t>my</w:t>
      </w:r>
      <w:r>
        <w:rPr>
          <w:color w:val="347A9F"/>
          <w:spacing w:val="-2"/>
        </w:rPr>
        <w:t xml:space="preserve"> complaint?</w:t>
      </w:r>
      <w:bookmarkEnd w:id="205"/>
    </w:p>
    <w:p w14:paraId="1ACD231A" w14:textId="77777777" w:rsidR="004C1D51" w:rsidRDefault="004C1D51" w:rsidP="004C1D51">
      <w:pPr>
        <w:pStyle w:val="BodyText"/>
        <w:spacing w:before="187" w:line="290" w:lineRule="auto"/>
        <w:ind w:left="113" w:right="380"/>
      </w:pPr>
      <w:r>
        <w:rPr>
          <w:b/>
          <w:color w:val="347A9F"/>
        </w:rPr>
        <w:t>Assess:</w:t>
      </w:r>
      <w:r>
        <w:rPr>
          <w:b/>
          <w:color w:val="347A9F"/>
          <w:spacing w:val="-2"/>
        </w:rPr>
        <w:t xml:space="preserve"> </w:t>
      </w:r>
      <w:r>
        <w:rPr>
          <w:color w:val="010202"/>
        </w:rPr>
        <w:t>We</w:t>
      </w:r>
      <w:r>
        <w:rPr>
          <w:color w:val="010202"/>
          <w:spacing w:val="-3"/>
        </w:rPr>
        <w:t xml:space="preserve"> </w:t>
      </w:r>
      <w:r>
        <w:rPr>
          <w:color w:val="010202"/>
        </w:rPr>
        <w:t>assess</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to</w:t>
      </w:r>
      <w:r>
        <w:rPr>
          <w:color w:val="010202"/>
          <w:spacing w:val="-2"/>
        </w:rPr>
        <w:t xml:space="preserve"> </w:t>
      </w:r>
      <w:r>
        <w:rPr>
          <w:color w:val="010202"/>
        </w:rPr>
        <w:t>decide</w:t>
      </w:r>
      <w:r>
        <w:rPr>
          <w:color w:val="010202"/>
          <w:spacing w:val="-3"/>
        </w:rPr>
        <w:t xml:space="preserve"> </w:t>
      </w:r>
      <w:r>
        <w:rPr>
          <w:color w:val="010202"/>
        </w:rPr>
        <w:t>if,</w:t>
      </w:r>
      <w:r>
        <w:rPr>
          <w:color w:val="010202"/>
          <w:spacing w:val="-3"/>
        </w:rPr>
        <w:t xml:space="preserve"> </w:t>
      </w:r>
      <w:r>
        <w:rPr>
          <w:color w:val="010202"/>
        </w:rPr>
        <w:t>on</w:t>
      </w:r>
      <w:r>
        <w:rPr>
          <w:color w:val="010202"/>
          <w:spacing w:val="-3"/>
        </w:rPr>
        <w:t xml:space="preserve"> </w:t>
      </w:r>
      <w:r>
        <w:rPr>
          <w:color w:val="010202"/>
        </w:rPr>
        <w:t>the</w:t>
      </w:r>
      <w:r>
        <w:rPr>
          <w:color w:val="010202"/>
          <w:spacing w:val="-2"/>
        </w:rPr>
        <w:t xml:space="preserve"> </w:t>
      </w:r>
      <w:r>
        <w:rPr>
          <w:color w:val="010202"/>
        </w:rPr>
        <w:t>basis</w:t>
      </w:r>
      <w:r>
        <w:rPr>
          <w:color w:val="010202"/>
          <w:spacing w:val="-3"/>
        </w:rPr>
        <w:t xml:space="preserve"> </w:t>
      </w:r>
      <w:r>
        <w:rPr>
          <w:color w:val="010202"/>
        </w:rPr>
        <w:t>of</w:t>
      </w:r>
      <w:r>
        <w:rPr>
          <w:color w:val="010202"/>
          <w:spacing w:val="-3"/>
        </w:rPr>
        <w:t xml:space="preserve"> </w:t>
      </w:r>
      <w:r>
        <w:rPr>
          <w:color w:val="010202"/>
        </w:rPr>
        <w:t>what</w:t>
      </w:r>
      <w:r>
        <w:rPr>
          <w:color w:val="010202"/>
          <w:spacing w:val="-3"/>
        </w:rPr>
        <w:t xml:space="preserve"> </w:t>
      </w:r>
      <w:r>
        <w:rPr>
          <w:color w:val="010202"/>
        </w:rPr>
        <w:t>you</w:t>
      </w:r>
      <w:r>
        <w:rPr>
          <w:color w:val="010202"/>
          <w:spacing w:val="-2"/>
        </w:rPr>
        <w:t xml:space="preserve"> </w:t>
      </w:r>
      <w:r>
        <w:rPr>
          <w:color w:val="010202"/>
        </w:rPr>
        <w:t>have</w:t>
      </w:r>
      <w:r>
        <w:rPr>
          <w:color w:val="010202"/>
          <w:spacing w:val="-3"/>
        </w:rPr>
        <w:t xml:space="preserve"> </w:t>
      </w:r>
      <w:r>
        <w:rPr>
          <w:color w:val="010202"/>
        </w:rPr>
        <w:t>said,</w:t>
      </w:r>
      <w:r>
        <w:rPr>
          <w:color w:val="010202"/>
          <w:spacing w:val="-2"/>
        </w:rPr>
        <w:t xml:space="preserve"> </w:t>
      </w:r>
      <w:r>
        <w:rPr>
          <w:color w:val="010202"/>
        </w:rPr>
        <w:t>there</w:t>
      </w:r>
      <w:r>
        <w:rPr>
          <w:color w:val="010202"/>
          <w:spacing w:val="-2"/>
        </w:rPr>
        <w:t xml:space="preserve"> </w:t>
      </w:r>
      <w:r>
        <w:rPr>
          <w:color w:val="010202"/>
        </w:rPr>
        <w:t>may have been a contravention of the</w:t>
      </w:r>
      <w:r>
        <w:rPr>
          <w:color w:val="010202"/>
          <w:spacing w:val="-5"/>
        </w:rPr>
        <w:t xml:space="preserve"> </w:t>
      </w:r>
      <w:r>
        <w:rPr>
          <w:color w:val="010202"/>
        </w:rPr>
        <w:t>Anti-Discrimination</w:t>
      </w:r>
      <w:r>
        <w:rPr>
          <w:color w:val="010202"/>
          <w:spacing w:val="-5"/>
        </w:rPr>
        <w:t xml:space="preserve"> </w:t>
      </w:r>
      <w:r>
        <w:rPr>
          <w:color w:val="010202"/>
        </w:rPr>
        <w:t>Act, the Human Rights</w:t>
      </w:r>
      <w:r>
        <w:rPr>
          <w:color w:val="010202"/>
          <w:spacing w:val="-6"/>
        </w:rPr>
        <w:t xml:space="preserve"> </w:t>
      </w:r>
      <w:r>
        <w:rPr>
          <w:color w:val="010202"/>
        </w:rPr>
        <w:t>Act, or the Public Interest Disclosure Act.</w:t>
      </w:r>
    </w:p>
    <w:p w14:paraId="4AC852B1" w14:textId="77777777" w:rsidR="004C1D51" w:rsidRDefault="004C1D51" w:rsidP="004C1D51">
      <w:pPr>
        <w:pStyle w:val="BodyText"/>
        <w:spacing w:before="168" w:line="290" w:lineRule="auto"/>
        <w:ind w:left="113" w:right="322"/>
      </w:pPr>
      <w:r>
        <w:rPr>
          <w:b/>
          <w:color w:val="347A9F"/>
        </w:rPr>
        <w:t>Accept</w:t>
      </w:r>
      <w:r>
        <w:rPr>
          <w:b/>
          <w:color w:val="347A9F"/>
          <w:spacing w:val="-3"/>
        </w:rPr>
        <w:t xml:space="preserve"> </w:t>
      </w:r>
      <w:r>
        <w:rPr>
          <w:b/>
          <w:color w:val="347A9F"/>
        </w:rPr>
        <w:t>or</w:t>
      </w:r>
      <w:r>
        <w:rPr>
          <w:b/>
          <w:color w:val="347A9F"/>
          <w:spacing w:val="-2"/>
        </w:rPr>
        <w:t xml:space="preserve"> </w:t>
      </w:r>
      <w:r>
        <w:rPr>
          <w:b/>
          <w:color w:val="347A9F"/>
        </w:rPr>
        <w:t>reject:</w:t>
      </w:r>
      <w:r>
        <w:rPr>
          <w:b/>
          <w:color w:val="347A9F"/>
          <w:spacing w:val="-2"/>
        </w:rPr>
        <w:t xml:space="preserve"> </w:t>
      </w:r>
      <w:r>
        <w:rPr>
          <w:color w:val="010202"/>
        </w:rPr>
        <w:t>If</w:t>
      </w:r>
      <w:r>
        <w:rPr>
          <w:color w:val="010202"/>
          <w:spacing w:val="-2"/>
        </w:rPr>
        <w:t xml:space="preserve"> </w:t>
      </w:r>
      <w:r>
        <w:rPr>
          <w:color w:val="010202"/>
        </w:rPr>
        <w:t>we</w:t>
      </w:r>
      <w:r>
        <w:rPr>
          <w:color w:val="010202"/>
          <w:spacing w:val="-3"/>
        </w:rPr>
        <w:t xml:space="preserve"> </w:t>
      </w:r>
      <w:r>
        <w:rPr>
          <w:color w:val="010202"/>
        </w:rPr>
        <w:t>accept</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a</w:t>
      </w:r>
      <w:r>
        <w:rPr>
          <w:color w:val="010202"/>
          <w:spacing w:val="-3"/>
        </w:rPr>
        <w:t xml:space="preserve"> </w:t>
      </w:r>
      <w:r>
        <w:rPr>
          <w:color w:val="010202"/>
        </w:rPr>
        <w:t>complaint</w:t>
      </w:r>
      <w:r>
        <w:rPr>
          <w:color w:val="010202"/>
          <w:spacing w:val="-2"/>
        </w:rPr>
        <w:t xml:space="preserve"> </w:t>
      </w:r>
      <w:r>
        <w:rPr>
          <w:color w:val="010202"/>
        </w:rPr>
        <w:t>handler</w:t>
      </w:r>
      <w:r>
        <w:rPr>
          <w:color w:val="010202"/>
          <w:spacing w:val="-3"/>
        </w:rPr>
        <w:t xml:space="preserve"> </w:t>
      </w:r>
      <w:r>
        <w:rPr>
          <w:color w:val="010202"/>
        </w:rPr>
        <w:t>will</w:t>
      </w:r>
      <w:r>
        <w:rPr>
          <w:color w:val="010202"/>
          <w:spacing w:val="-3"/>
        </w:rPr>
        <w:t xml:space="preserve"> </w:t>
      </w:r>
      <w:r>
        <w:rPr>
          <w:color w:val="010202"/>
        </w:rPr>
        <w:t>contact</w:t>
      </w:r>
      <w:r>
        <w:rPr>
          <w:color w:val="010202"/>
          <w:spacing w:val="-2"/>
        </w:rPr>
        <w:t xml:space="preserve"> </w:t>
      </w:r>
      <w:r>
        <w:rPr>
          <w:color w:val="010202"/>
        </w:rPr>
        <w:t>you</w:t>
      </w:r>
      <w:r>
        <w:rPr>
          <w:color w:val="010202"/>
          <w:spacing w:val="-2"/>
        </w:rPr>
        <w:t xml:space="preserve"> </w:t>
      </w:r>
      <w:r>
        <w:rPr>
          <w:color w:val="010202"/>
        </w:rPr>
        <w:t>to</w:t>
      </w:r>
      <w:r>
        <w:rPr>
          <w:color w:val="010202"/>
          <w:spacing w:val="-2"/>
        </w:rPr>
        <w:t xml:space="preserve"> </w:t>
      </w:r>
      <w:r>
        <w:rPr>
          <w:color w:val="010202"/>
        </w:rPr>
        <w:t>explain</w:t>
      </w:r>
      <w:r>
        <w:rPr>
          <w:color w:val="010202"/>
          <w:spacing w:val="-3"/>
        </w:rPr>
        <w:t xml:space="preserve"> </w:t>
      </w:r>
      <w:r>
        <w:rPr>
          <w:color w:val="010202"/>
        </w:rPr>
        <w:t>what will happen next. We will send a copy of your complaint to the respondent (the person or people that your complaint is about) and they will have an opportunity to respond. If we don’t accept your complaint, we will write to you explaining the reasons for our decision.</w:t>
      </w:r>
    </w:p>
    <w:p w14:paraId="02193DA0" w14:textId="77777777" w:rsidR="004C1D51" w:rsidRDefault="004C1D51" w:rsidP="004C1D51">
      <w:pPr>
        <w:pStyle w:val="BodyText"/>
        <w:spacing w:before="168" w:line="290" w:lineRule="auto"/>
        <w:ind w:left="113" w:right="380"/>
      </w:pPr>
      <w:r>
        <w:rPr>
          <w:b/>
          <w:color w:val="347A9F"/>
        </w:rPr>
        <w:t xml:space="preserve">Conciliate: </w:t>
      </w:r>
      <w:r>
        <w:rPr>
          <w:color w:val="010202"/>
        </w:rPr>
        <w:t>Most complaints are resolved through the conciliation process. You and the respondents will be directed to attend a conciliation conference in which you will be asked to talk about</w:t>
      </w:r>
      <w:r>
        <w:rPr>
          <w:color w:val="010202"/>
          <w:spacing w:val="-3"/>
        </w:rPr>
        <w:t xml:space="preserve"> </w:t>
      </w:r>
      <w:r>
        <w:rPr>
          <w:color w:val="010202"/>
        </w:rPr>
        <w:t>your</w:t>
      </w:r>
      <w:r>
        <w:rPr>
          <w:color w:val="010202"/>
          <w:spacing w:val="-2"/>
        </w:rPr>
        <w:t xml:space="preserve"> </w:t>
      </w:r>
      <w:r>
        <w:rPr>
          <w:color w:val="010202"/>
        </w:rPr>
        <w:t>complaint</w:t>
      </w:r>
      <w:r>
        <w:rPr>
          <w:color w:val="010202"/>
          <w:spacing w:val="-2"/>
        </w:rPr>
        <w:t xml:space="preserve"> </w:t>
      </w:r>
      <w:r>
        <w:rPr>
          <w:color w:val="010202"/>
        </w:rPr>
        <w:t>and</w:t>
      </w:r>
      <w:r>
        <w:rPr>
          <w:color w:val="010202"/>
          <w:spacing w:val="-3"/>
        </w:rPr>
        <w:t xml:space="preserve"> </w:t>
      </w:r>
      <w:r>
        <w:rPr>
          <w:color w:val="010202"/>
        </w:rPr>
        <w:t>the</w:t>
      </w:r>
      <w:r>
        <w:rPr>
          <w:color w:val="010202"/>
          <w:spacing w:val="-2"/>
        </w:rPr>
        <w:t xml:space="preserve"> </w:t>
      </w:r>
      <w:r>
        <w:rPr>
          <w:color w:val="010202"/>
        </w:rPr>
        <w:t>impact</w:t>
      </w:r>
      <w:r>
        <w:rPr>
          <w:color w:val="010202"/>
          <w:spacing w:val="-3"/>
        </w:rPr>
        <w:t xml:space="preserve"> </w:t>
      </w:r>
      <w:r>
        <w:rPr>
          <w:color w:val="010202"/>
        </w:rPr>
        <w:t>it</w:t>
      </w:r>
      <w:r>
        <w:rPr>
          <w:color w:val="010202"/>
          <w:spacing w:val="-3"/>
        </w:rPr>
        <w:t xml:space="preserve"> </w:t>
      </w:r>
      <w:r>
        <w:rPr>
          <w:color w:val="010202"/>
        </w:rPr>
        <w:t>has</w:t>
      </w:r>
      <w:r>
        <w:rPr>
          <w:color w:val="010202"/>
          <w:spacing w:val="-3"/>
        </w:rPr>
        <w:t xml:space="preserve"> </w:t>
      </w:r>
      <w:r>
        <w:rPr>
          <w:color w:val="010202"/>
        </w:rPr>
        <w:t>had</w:t>
      </w:r>
      <w:r>
        <w:rPr>
          <w:color w:val="010202"/>
          <w:spacing w:val="-3"/>
        </w:rPr>
        <w:t xml:space="preserve"> </w:t>
      </w:r>
      <w:r>
        <w:rPr>
          <w:color w:val="010202"/>
        </w:rPr>
        <w:t>on</w:t>
      </w:r>
      <w:r>
        <w:rPr>
          <w:color w:val="010202"/>
          <w:spacing w:val="-3"/>
        </w:rPr>
        <w:t xml:space="preserve"> </w:t>
      </w:r>
      <w:r>
        <w:rPr>
          <w:color w:val="010202"/>
        </w:rPr>
        <w:t>you.</w:t>
      </w:r>
      <w:r>
        <w:rPr>
          <w:color w:val="010202"/>
          <w:spacing w:val="-6"/>
        </w:rPr>
        <w:t xml:space="preserve"> </w:t>
      </w:r>
      <w:r>
        <w:rPr>
          <w:color w:val="010202"/>
        </w:rPr>
        <w:t>The</w:t>
      </w:r>
      <w:r>
        <w:rPr>
          <w:color w:val="010202"/>
          <w:spacing w:val="-2"/>
        </w:rPr>
        <w:t xml:space="preserve"> </w:t>
      </w:r>
      <w:r>
        <w:rPr>
          <w:color w:val="010202"/>
        </w:rPr>
        <w:t>respondents</w:t>
      </w:r>
      <w:r>
        <w:rPr>
          <w:color w:val="010202"/>
          <w:spacing w:val="-2"/>
        </w:rPr>
        <w:t xml:space="preserve"> </w:t>
      </w:r>
      <w:r>
        <w:rPr>
          <w:color w:val="010202"/>
        </w:rPr>
        <w:t>will</w:t>
      </w:r>
      <w:r>
        <w:rPr>
          <w:color w:val="010202"/>
          <w:spacing w:val="-3"/>
        </w:rPr>
        <w:t xml:space="preserve"> </w:t>
      </w:r>
      <w:r>
        <w:rPr>
          <w:color w:val="010202"/>
        </w:rPr>
        <w:t>be</w:t>
      </w:r>
      <w:r>
        <w:rPr>
          <w:color w:val="010202"/>
          <w:spacing w:val="-3"/>
        </w:rPr>
        <w:t xml:space="preserve"> </w:t>
      </w:r>
      <w:r>
        <w:rPr>
          <w:color w:val="010202"/>
        </w:rPr>
        <w:t>asked</w:t>
      </w:r>
      <w:r>
        <w:rPr>
          <w:color w:val="010202"/>
          <w:spacing w:val="-3"/>
        </w:rPr>
        <w:t xml:space="preserve"> </w:t>
      </w:r>
      <w:r>
        <w:rPr>
          <w:color w:val="010202"/>
        </w:rPr>
        <w:t>to</w:t>
      </w:r>
      <w:r>
        <w:rPr>
          <w:color w:val="010202"/>
          <w:spacing w:val="-2"/>
        </w:rPr>
        <w:t xml:space="preserve"> </w:t>
      </w:r>
      <w:r>
        <w:rPr>
          <w:color w:val="010202"/>
        </w:rPr>
        <w:t>listen</w:t>
      </w:r>
      <w:r>
        <w:rPr>
          <w:color w:val="010202"/>
          <w:spacing w:val="-3"/>
        </w:rPr>
        <w:t xml:space="preserve"> </w:t>
      </w:r>
      <w:r>
        <w:rPr>
          <w:color w:val="010202"/>
        </w:rPr>
        <w:t>to you without interrupting, and will have the opportunity to talk about the complaint in a respectful way. The process is managed by an impartial conciliator from the Commission who ensures the process is fair to everyone.</w:t>
      </w:r>
    </w:p>
    <w:p w14:paraId="1D5DD721" w14:textId="77777777" w:rsidR="004C1D51" w:rsidRDefault="004C1D51" w:rsidP="004C1D51">
      <w:pPr>
        <w:pStyle w:val="BodyText"/>
        <w:spacing w:before="166" w:line="290" w:lineRule="auto"/>
        <w:ind w:left="113" w:right="380"/>
      </w:pPr>
      <w:r>
        <w:rPr>
          <w:b/>
          <w:color w:val="347A9F"/>
        </w:rPr>
        <w:t>Refer:</w:t>
      </w:r>
      <w:r>
        <w:rPr>
          <w:b/>
          <w:color w:val="347A9F"/>
          <w:spacing w:val="-2"/>
        </w:rPr>
        <w:t xml:space="preserve"> </w:t>
      </w:r>
      <w:r>
        <w:rPr>
          <w:color w:val="010202"/>
        </w:rPr>
        <w:t>If</w:t>
      </w:r>
      <w:r>
        <w:rPr>
          <w:color w:val="010202"/>
          <w:spacing w:val="-2"/>
        </w:rPr>
        <w:t xml:space="preserve"> </w:t>
      </w:r>
      <w:r>
        <w:rPr>
          <w:color w:val="010202"/>
        </w:rPr>
        <w:t>you</w:t>
      </w:r>
      <w:r>
        <w:rPr>
          <w:color w:val="010202"/>
          <w:spacing w:val="-2"/>
        </w:rPr>
        <w:t xml:space="preserve"> </w:t>
      </w:r>
      <w:r>
        <w:rPr>
          <w:color w:val="010202"/>
        </w:rPr>
        <w:t>complaint</w:t>
      </w:r>
      <w:r>
        <w:rPr>
          <w:color w:val="010202"/>
          <w:spacing w:val="-2"/>
        </w:rPr>
        <w:t xml:space="preserve"> </w:t>
      </w:r>
      <w:r>
        <w:rPr>
          <w:color w:val="010202"/>
        </w:rPr>
        <w:t>isn’t</w:t>
      </w:r>
      <w:r>
        <w:rPr>
          <w:color w:val="010202"/>
          <w:spacing w:val="-3"/>
        </w:rPr>
        <w:t xml:space="preserve"> </w:t>
      </w:r>
      <w:r>
        <w:rPr>
          <w:color w:val="010202"/>
        </w:rPr>
        <w:t>resolved</w:t>
      </w:r>
      <w:r>
        <w:rPr>
          <w:color w:val="010202"/>
          <w:spacing w:val="-2"/>
        </w:rPr>
        <w:t xml:space="preserve"> </w:t>
      </w:r>
      <w:r>
        <w:rPr>
          <w:color w:val="010202"/>
        </w:rPr>
        <w:t>through</w:t>
      </w:r>
      <w:r>
        <w:rPr>
          <w:color w:val="010202"/>
          <w:spacing w:val="-2"/>
        </w:rPr>
        <w:t xml:space="preserve"> </w:t>
      </w:r>
      <w:r>
        <w:rPr>
          <w:color w:val="010202"/>
        </w:rPr>
        <w:t>conciliation,</w:t>
      </w:r>
      <w:r>
        <w:rPr>
          <w:color w:val="010202"/>
          <w:spacing w:val="-2"/>
        </w:rPr>
        <w:t xml:space="preserve"> </w:t>
      </w:r>
      <w:r>
        <w:rPr>
          <w:color w:val="010202"/>
        </w:rPr>
        <w:t>you</w:t>
      </w:r>
      <w:r>
        <w:rPr>
          <w:color w:val="010202"/>
          <w:spacing w:val="-2"/>
        </w:rPr>
        <w:t xml:space="preserve"> </w:t>
      </w:r>
      <w:r>
        <w:rPr>
          <w:color w:val="010202"/>
        </w:rPr>
        <w:t>may</w:t>
      </w:r>
      <w:r>
        <w:rPr>
          <w:color w:val="010202"/>
          <w:spacing w:val="-2"/>
        </w:rPr>
        <w:t xml:space="preserve"> </w:t>
      </w:r>
      <w:r>
        <w:rPr>
          <w:color w:val="010202"/>
        </w:rPr>
        <w:t>ask</w:t>
      </w:r>
      <w:r>
        <w:rPr>
          <w:color w:val="010202"/>
          <w:spacing w:val="-3"/>
        </w:rPr>
        <w:t xml:space="preserve"> </w:t>
      </w:r>
      <w:r>
        <w:rPr>
          <w:color w:val="010202"/>
        </w:rPr>
        <w:t>for</w:t>
      </w:r>
      <w:r>
        <w:rPr>
          <w:color w:val="010202"/>
          <w:spacing w:val="-2"/>
        </w:rPr>
        <w:t xml:space="preserve"> </w:t>
      </w:r>
      <w:r>
        <w:rPr>
          <w:color w:val="010202"/>
        </w:rPr>
        <w:t>it</w:t>
      </w:r>
      <w:r>
        <w:rPr>
          <w:color w:val="010202"/>
          <w:spacing w:val="-3"/>
        </w:rPr>
        <w:t xml:space="preserve"> </w:t>
      </w:r>
      <w:r>
        <w:rPr>
          <w:color w:val="010202"/>
        </w:rPr>
        <w:t>to</w:t>
      </w:r>
      <w:r>
        <w:rPr>
          <w:color w:val="010202"/>
          <w:spacing w:val="-2"/>
        </w:rPr>
        <w:t xml:space="preserve"> </w:t>
      </w:r>
      <w:r>
        <w:rPr>
          <w:color w:val="010202"/>
        </w:rPr>
        <w:t>be</w:t>
      </w:r>
      <w:r>
        <w:rPr>
          <w:color w:val="010202"/>
          <w:spacing w:val="-3"/>
        </w:rPr>
        <w:t xml:space="preserve"> </w:t>
      </w:r>
      <w:r>
        <w:rPr>
          <w:color w:val="010202"/>
        </w:rPr>
        <w:t>referred</w:t>
      </w:r>
      <w:r>
        <w:rPr>
          <w:color w:val="010202"/>
          <w:spacing w:val="-2"/>
        </w:rPr>
        <w:t xml:space="preserve"> </w:t>
      </w:r>
      <w:r>
        <w:rPr>
          <w:color w:val="010202"/>
        </w:rPr>
        <w:t>to</w:t>
      </w:r>
      <w:r>
        <w:rPr>
          <w:color w:val="010202"/>
          <w:spacing w:val="-2"/>
        </w:rPr>
        <w:t xml:space="preserve"> </w:t>
      </w:r>
      <w:r>
        <w:rPr>
          <w:color w:val="010202"/>
        </w:rPr>
        <w:t>a tribunal to be decided. This may involve a hearing similar to a court.</w:t>
      </w:r>
    </w:p>
    <w:p w14:paraId="3412C2B7" w14:textId="77777777" w:rsidR="004C1D51" w:rsidRDefault="004C1D51" w:rsidP="004C1D51">
      <w:pPr>
        <w:pStyle w:val="BodyText"/>
        <w:spacing w:before="9"/>
        <w:rPr>
          <w:sz w:val="19"/>
        </w:rPr>
      </w:pPr>
    </w:p>
    <w:p w14:paraId="4EC4BA06" w14:textId="77777777" w:rsidR="004C1D51" w:rsidRDefault="004C1D51" w:rsidP="004C1D51">
      <w:pPr>
        <w:pStyle w:val="Heading1"/>
      </w:pPr>
      <w:bookmarkStart w:id="206" w:name="_Toc131144729"/>
      <w:r>
        <w:rPr>
          <w:color w:val="347A9F"/>
        </w:rPr>
        <w:t>What</w:t>
      </w:r>
      <w:r>
        <w:rPr>
          <w:color w:val="347A9F"/>
          <w:spacing w:val="-5"/>
        </w:rPr>
        <w:t xml:space="preserve"> </w:t>
      </w:r>
      <w:r>
        <w:rPr>
          <w:color w:val="347A9F"/>
        </w:rPr>
        <w:t>is</w:t>
      </w:r>
      <w:r>
        <w:rPr>
          <w:color w:val="347A9F"/>
          <w:spacing w:val="-5"/>
        </w:rPr>
        <w:t xml:space="preserve"> </w:t>
      </w:r>
      <w:r>
        <w:rPr>
          <w:color w:val="347A9F"/>
        </w:rPr>
        <w:t>the</w:t>
      </w:r>
      <w:r>
        <w:rPr>
          <w:color w:val="347A9F"/>
          <w:spacing w:val="-5"/>
        </w:rPr>
        <w:t xml:space="preserve"> </w:t>
      </w:r>
      <w:r>
        <w:rPr>
          <w:color w:val="347A9F"/>
        </w:rPr>
        <w:t>Commission’s</w:t>
      </w:r>
      <w:r>
        <w:rPr>
          <w:color w:val="347A9F"/>
          <w:spacing w:val="-4"/>
        </w:rPr>
        <w:t xml:space="preserve"> role?</w:t>
      </w:r>
      <w:bookmarkEnd w:id="206"/>
    </w:p>
    <w:p w14:paraId="6C216652" w14:textId="77777777" w:rsidR="004C1D51" w:rsidRDefault="004C1D51" w:rsidP="004C1D51">
      <w:pPr>
        <w:pStyle w:val="BodyText"/>
        <w:spacing w:before="187" w:line="290" w:lineRule="auto"/>
        <w:ind w:left="113" w:right="380"/>
      </w:pPr>
      <w:r>
        <w:rPr>
          <w:color w:val="010202"/>
        </w:rPr>
        <w:t>The</w:t>
      </w:r>
      <w:r>
        <w:rPr>
          <w:color w:val="010202"/>
          <w:spacing w:val="-2"/>
        </w:rPr>
        <w:t xml:space="preserve"> </w:t>
      </w:r>
      <w:r>
        <w:rPr>
          <w:color w:val="010202"/>
        </w:rPr>
        <w:t>Commission</w:t>
      </w:r>
      <w:r>
        <w:rPr>
          <w:color w:val="010202"/>
          <w:spacing w:val="-3"/>
        </w:rPr>
        <w:t xml:space="preserve"> </w:t>
      </w:r>
      <w:r>
        <w:rPr>
          <w:color w:val="010202"/>
        </w:rPr>
        <w:t>is</w:t>
      </w:r>
      <w:r>
        <w:rPr>
          <w:color w:val="010202"/>
          <w:spacing w:val="-3"/>
        </w:rPr>
        <w:t xml:space="preserve"> </w:t>
      </w:r>
      <w:r>
        <w:rPr>
          <w:color w:val="010202"/>
        </w:rPr>
        <w:t>impartial</w:t>
      </w:r>
      <w:r>
        <w:rPr>
          <w:color w:val="010202"/>
          <w:spacing w:val="-3"/>
        </w:rPr>
        <w:t xml:space="preserve"> </w:t>
      </w:r>
      <w:r>
        <w:rPr>
          <w:color w:val="010202"/>
        </w:rPr>
        <w:t>and</w:t>
      </w:r>
      <w:r>
        <w:rPr>
          <w:color w:val="010202"/>
          <w:spacing w:val="-3"/>
        </w:rPr>
        <w:t xml:space="preserve"> </w:t>
      </w:r>
      <w:r>
        <w:rPr>
          <w:color w:val="010202"/>
        </w:rPr>
        <w:t>will</w:t>
      </w:r>
      <w:r>
        <w:rPr>
          <w:color w:val="010202"/>
          <w:spacing w:val="-3"/>
        </w:rPr>
        <w:t xml:space="preserve"> </w:t>
      </w:r>
      <w:r>
        <w:rPr>
          <w:color w:val="010202"/>
        </w:rPr>
        <w:t>not</w:t>
      </w:r>
      <w:r>
        <w:rPr>
          <w:color w:val="010202"/>
          <w:spacing w:val="-3"/>
        </w:rPr>
        <w:t xml:space="preserve"> </w:t>
      </w:r>
      <w:r>
        <w:rPr>
          <w:color w:val="010202"/>
        </w:rPr>
        <w:t>take</w:t>
      </w:r>
      <w:r>
        <w:rPr>
          <w:color w:val="010202"/>
          <w:spacing w:val="-2"/>
        </w:rPr>
        <w:t xml:space="preserve"> </w:t>
      </w:r>
      <w:r>
        <w:rPr>
          <w:color w:val="010202"/>
        </w:rPr>
        <w:t>sides.</w:t>
      </w:r>
      <w:r>
        <w:rPr>
          <w:color w:val="010202"/>
          <w:spacing w:val="-2"/>
        </w:rPr>
        <w:t xml:space="preserve"> </w:t>
      </w:r>
      <w:r>
        <w:rPr>
          <w:color w:val="010202"/>
        </w:rPr>
        <w:t>Our</w:t>
      </w:r>
      <w:r>
        <w:rPr>
          <w:color w:val="010202"/>
          <w:spacing w:val="-2"/>
        </w:rPr>
        <w:t xml:space="preserve"> </w:t>
      </w:r>
      <w:r>
        <w:rPr>
          <w:color w:val="010202"/>
        </w:rPr>
        <w:t>role</w:t>
      </w:r>
      <w:r>
        <w:rPr>
          <w:color w:val="010202"/>
          <w:spacing w:val="-2"/>
        </w:rPr>
        <w:t xml:space="preserve"> </w:t>
      </w:r>
      <w:r>
        <w:rPr>
          <w:color w:val="010202"/>
        </w:rPr>
        <w:t>is</w:t>
      </w:r>
      <w:r>
        <w:rPr>
          <w:color w:val="010202"/>
          <w:spacing w:val="-3"/>
        </w:rPr>
        <w:t xml:space="preserve"> </w:t>
      </w:r>
      <w:r>
        <w:rPr>
          <w:color w:val="010202"/>
        </w:rPr>
        <w:t>not</w:t>
      </w:r>
      <w:r>
        <w:rPr>
          <w:color w:val="010202"/>
          <w:spacing w:val="-3"/>
        </w:rPr>
        <w:t xml:space="preserve"> </w:t>
      </w:r>
      <w:r>
        <w:rPr>
          <w:color w:val="010202"/>
        </w:rPr>
        <w:t>to</w:t>
      </w:r>
      <w:r>
        <w:rPr>
          <w:color w:val="010202"/>
          <w:spacing w:val="-2"/>
        </w:rPr>
        <w:t xml:space="preserve"> </w:t>
      </w:r>
      <w:r>
        <w:rPr>
          <w:color w:val="010202"/>
        </w:rPr>
        <w:t>decide</w:t>
      </w:r>
      <w:r>
        <w:rPr>
          <w:color w:val="010202"/>
          <w:spacing w:val="-3"/>
        </w:rPr>
        <w:t xml:space="preserve"> </w:t>
      </w:r>
      <w:r>
        <w:rPr>
          <w:color w:val="010202"/>
        </w:rPr>
        <w:t>who</w:t>
      </w:r>
      <w:r>
        <w:rPr>
          <w:color w:val="010202"/>
          <w:spacing w:val="-3"/>
        </w:rPr>
        <w:t xml:space="preserve"> </w:t>
      </w:r>
      <w:r>
        <w:rPr>
          <w:color w:val="010202"/>
        </w:rPr>
        <w:t>is</w:t>
      </w:r>
      <w:r>
        <w:rPr>
          <w:color w:val="010202"/>
          <w:spacing w:val="-3"/>
        </w:rPr>
        <w:t xml:space="preserve"> </w:t>
      </w:r>
      <w:r>
        <w:rPr>
          <w:color w:val="010202"/>
        </w:rPr>
        <w:t>right</w:t>
      </w:r>
      <w:r>
        <w:rPr>
          <w:color w:val="010202"/>
          <w:spacing w:val="-2"/>
        </w:rPr>
        <w:t xml:space="preserve"> </w:t>
      </w:r>
      <w:r>
        <w:rPr>
          <w:color w:val="010202"/>
        </w:rPr>
        <w:t>or</w:t>
      </w:r>
      <w:r>
        <w:rPr>
          <w:color w:val="010202"/>
          <w:spacing w:val="-3"/>
        </w:rPr>
        <w:t xml:space="preserve"> </w:t>
      </w:r>
      <w:r>
        <w:rPr>
          <w:color w:val="010202"/>
        </w:rPr>
        <w:t>wrong but to help people resolve complaints.</w:t>
      </w:r>
    </w:p>
    <w:p w14:paraId="585F5871" w14:textId="77777777" w:rsidR="004C1D51" w:rsidRDefault="004C1D51" w:rsidP="004C1D51">
      <w:pPr>
        <w:pStyle w:val="BodyText"/>
        <w:spacing w:before="168"/>
        <w:ind w:left="113"/>
      </w:pPr>
      <w:r>
        <w:rPr>
          <w:color w:val="010202"/>
        </w:rPr>
        <w:t>The</w:t>
      </w:r>
      <w:r>
        <w:rPr>
          <w:color w:val="010202"/>
          <w:spacing w:val="-4"/>
        </w:rPr>
        <w:t xml:space="preserve"> </w:t>
      </w:r>
      <w:r>
        <w:rPr>
          <w:color w:val="010202"/>
        </w:rPr>
        <w:t>Commission’s</w:t>
      </w:r>
      <w:r>
        <w:rPr>
          <w:color w:val="010202"/>
          <w:spacing w:val="-4"/>
        </w:rPr>
        <w:t xml:space="preserve"> </w:t>
      </w:r>
      <w:r>
        <w:rPr>
          <w:color w:val="010202"/>
        </w:rPr>
        <w:t>role</w:t>
      </w:r>
      <w:r>
        <w:rPr>
          <w:color w:val="010202"/>
          <w:spacing w:val="-4"/>
        </w:rPr>
        <w:t xml:space="preserve"> </w:t>
      </w:r>
      <w:r>
        <w:rPr>
          <w:color w:val="010202"/>
        </w:rPr>
        <w:t>is</w:t>
      </w:r>
      <w:r>
        <w:rPr>
          <w:color w:val="010202"/>
          <w:spacing w:val="-4"/>
        </w:rPr>
        <w:t xml:space="preserve"> </w:t>
      </w:r>
      <w:r>
        <w:rPr>
          <w:color w:val="010202"/>
          <w:spacing w:val="-5"/>
        </w:rPr>
        <w:t>to:</w:t>
      </w:r>
    </w:p>
    <w:p w14:paraId="5CD0BC3E" w14:textId="77777777" w:rsidR="004C1D51" w:rsidRDefault="004C1D51" w:rsidP="004C1D51">
      <w:pPr>
        <w:pStyle w:val="BodyText"/>
        <w:spacing w:before="2"/>
        <w:rPr>
          <w:sz w:val="19"/>
        </w:rPr>
      </w:pPr>
    </w:p>
    <w:p w14:paraId="4ED28485" w14:textId="77777777" w:rsidR="004C1D51" w:rsidRDefault="004C1D51">
      <w:pPr>
        <w:pStyle w:val="ListParagraph"/>
        <w:widowControl w:val="0"/>
        <w:numPr>
          <w:ilvl w:val="0"/>
          <w:numId w:val="53"/>
        </w:numPr>
        <w:tabs>
          <w:tab w:val="left" w:pos="681"/>
        </w:tabs>
        <w:autoSpaceDE w:val="0"/>
        <w:autoSpaceDN w:val="0"/>
        <w:spacing w:after="0" w:line="240" w:lineRule="auto"/>
        <w:contextualSpacing w:val="0"/>
        <w:rPr>
          <w:sz w:val="20"/>
        </w:rPr>
      </w:pPr>
      <w:r>
        <w:rPr>
          <w:color w:val="010202"/>
          <w:sz w:val="20"/>
        </w:rPr>
        <w:t>work</w:t>
      </w:r>
      <w:r>
        <w:rPr>
          <w:color w:val="010202"/>
          <w:spacing w:val="-6"/>
          <w:sz w:val="20"/>
        </w:rPr>
        <w:t xml:space="preserve"> </w:t>
      </w:r>
      <w:r>
        <w:rPr>
          <w:color w:val="010202"/>
          <w:sz w:val="20"/>
        </w:rPr>
        <w:t>to</w:t>
      </w:r>
      <w:r>
        <w:rPr>
          <w:color w:val="010202"/>
          <w:spacing w:val="-3"/>
          <w:sz w:val="20"/>
        </w:rPr>
        <w:t xml:space="preserve"> </w:t>
      </w:r>
      <w:r>
        <w:rPr>
          <w:color w:val="010202"/>
          <w:sz w:val="20"/>
        </w:rPr>
        <w:t>ensure</w:t>
      </w:r>
      <w:r>
        <w:rPr>
          <w:color w:val="010202"/>
          <w:spacing w:val="-4"/>
          <w:sz w:val="20"/>
        </w:rPr>
        <w:t xml:space="preserve"> </w:t>
      </w:r>
      <w:r>
        <w:rPr>
          <w:color w:val="010202"/>
          <w:sz w:val="20"/>
        </w:rPr>
        <w:t>that</w:t>
      </w:r>
      <w:r>
        <w:rPr>
          <w:color w:val="010202"/>
          <w:spacing w:val="-3"/>
          <w:sz w:val="20"/>
        </w:rPr>
        <w:t xml:space="preserve"> </w:t>
      </w:r>
      <w:r>
        <w:rPr>
          <w:color w:val="010202"/>
          <w:sz w:val="20"/>
        </w:rPr>
        <w:t>everyone</w:t>
      </w:r>
      <w:r>
        <w:rPr>
          <w:color w:val="010202"/>
          <w:spacing w:val="-3"/>
          <w:sz w:val="20"/>
        </w:rPr>
        <w:t xml:space="preserve"> </w:t>
      </w:r>
      <w:r>
        <w:rPr>
          <w:color w:val="010202"/>
          <w:sz w:val="20"/>
        </w:rPr>
        <w:t>puts</w:t>
      </w:r>
      <w:r>
        <w:rPr>
          <w:color w:val="010202"/>
          <w:spacing w:val="-4"/>
          <w:sz w:val="20"/>
        </w:rPr>
        <w:t xml:space="preserve"> </w:t>
      </w:r>
      <w:r>
        <w:rPr>
          <w:color w:val="010202"/>
          <w:sz w:val="20"/>
        </w:rPr>
        <w:t>forward</w:t>
      </w:r>
      <w:r>
        <w:rPr>
          <w:color w:val="010202"/>
          <w:spacing w:val="-3"/>
          <w:sz w:val="20"/>
        </w:rPr>
        <w:t xml:space="preserve"> </w:t>
      </w:r>
      <w:r>
        <w:rPr>
          <w:color w:val="010202"/>
          <w:sz w:val="20"/>
        </w:rPr>
        <w:t>their</w:t>
      </w:r>
      <w:r>
        <w:rPr>
          <w:color w:val="010202"/>
          <w:spacing w:val="-3"/>
          <w:sz w:val="20"/>
        </w:rPr>
        <w:t xml:space="preserve"> </w:t>
      </w:r>
      <w:r>
        <w:rPr>
          <w:color w:val="010202"/>
          <w:sz w:val="20"/>
        </w:rPr>
        <w:t>point</w:t>
      </w:r>
      <w:r>
        <w:rPr>
          <w:color w:val="010202"/>
          <w:spacing w:val="-3"/>
          <w:sz w:val="20"/>
        </w:rPr>
        <w:t xml:space="preserve"> </w:t>
      </w:r>
      <w:r>
        <w:rPr>
          <w:color w:val="010202"/>
          <w:sz w:val="20"/>
        </w:rPr>
        <w:t>of</w:t>
      </w:r>
      <w:r>
        <w:rPr>
          <w:color w:val="010202"/>
          <w:spacing w:val="-4"/>
          <w:sz w:val="20"/>
        </w:rPr>
        <w:t xml:space="preserve"> </w:t>
      </w:r>
      <w:r>
        <w:rPr>
          <w:color w:val="010202"/>
          <w:sz w:val="20"/>
        </w:rPr>
        <w:t>view,</w:t>
      </w:r>
      <w:r>
        <w:rPr>
          <w:color w:val="010202"/>
          <w:spacing w:val="-3"/>
          <w:sz w:val="20"/>
        </w:rPr>
        <w:t xml:space="preserve"> </w:t>
      </w:r>
      <w:r>
        <w:rPr>
          <w:color w:val="010202"/>
          <w:sz w:val="20"/>
        </w:rPr>
        <w:t>is</w:t>
      </w:r>
      <w:r>
        <w:rPr>
          <w:color w:val="010202"/>
          <w:spacing w:val="-3"/>
          <w:sz w:val="20"/>
        </w:rPr>
        <w:t xml:space="preserve"> </w:t>
      </w:r>
      <w:r>
        <w:rPr>
          <w:color w:val="010202"/>
          <w:sz w:val="20"/>
        </w:rPr>
        <w:t>listened</w:t>
      </w:r>
      <w:r>
        <w:rPr>
          <w:color w:val="010202"/>
          <w:spacing w:val="-4"/>
          <w:sz w:val="20"/>
        </w:rPr>
        <w:t xml:space="preserve"> </w:t>
      </w:r>
      <w:r>
        <w:rPr>
          <w:color w:val="010202"/>
          <w:sz w:val="20"/>
        </w:rPr>
        <w:t>to,</w:t>
      </w:r>
      <w:r>
        <w:rPr>
          <w:color w:val="010202"/>
          <w:spacing w:val="-3"/>
          <w:sz w:val="20"/>
        </w:rPr>
        <w:t xml:space="preserve"> </w:t>
      </w:r>
      <w:r>
        <w:rPr>
          <w:color w:val="010202"/>
          <w:sz w:val="20"/>
        </w:rPr>
        <w:t>and</w:t>
      </w:r>
      <w:r>
        <w:rPr>
          <w:color w:val="010202"/>
          <w:spacing w:val="-4"/>
          <w:sz w:val="20"/>
        </w:rPr>
        <w:t xml:space="preserve"> </w:t>
      </w:r>
      <w:r>
        <w:rPr>
          <w:color w:val="010202"/>
          <w:sz w:val="20"/>
        </w:rPr>
        <w:t>feels</w:t>
      </w:r>
      <w:r>
        <w:rPr>
          <w:color w:val="010202"/>
          <w:spacing w:val="-2"/>
          <w:sz w:val="20"/>
        </w:rPr>
        <w:t xml:space="preserve"> </w:t>
      </w:r>
      <w:r>
        <w:rPr>
          <w:color w:val="010202"/>
          <w:spacing w:val="-4"/>
          <w:sz w:val="20"/>
        </w:rPr>
        <w:t>safe</w:t>
      </w:r>
    </w:p>
    <w:p w14:paraId="7D32AEAA"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assist</w:t>
      </w:r>
      <w:r>
        <w:rPr>
          <w:color w:val="010202"/>
          <w:spacing w:val="-4"/>
          <w:sz w:val="20"/>
        </w:rPr>
        <w:t xml:space="preserve"> </w:t>
      </w:r>
      <w:r>
        <w:rPr>
          <w:color w:val="010202"/>
          <w:sz w:val="20"/>
        </w:rPr>
        <w:t>everyone</w:t>
      </w:r>
      <w:r>
        <w:rPr>
          <w:color w:val="010202"/>
          <w:spacing w:val="-4"/>
          <w:sz w:val="20"/>
        </w:rPr>
        <w:t xml:space="preserve"> </w:t>
      </w:r>
      <w:r>
        <w:rPr>
          <w:color w:val="010202"/>
          <w:sz w:val="20"/>
        </w:rPr>
        <w:t>reach</w:t>
      </w:r>
      <w:r>
        <w:rPr>
          <w:color w:val="010202"/>
          <w:spacing w:val="-3"/>
          <w:sz w:val="20"/>
        </w:rPr>
        <w:t xml:space="preserve"> </w:t>
      </w:r>
      <w:r>
        <w:rPr>
          <w:color w:val="010202"/>
          <w:sz w:val="20"/>
        </w:rPr>
        <w:t>agreement</w:t>
      </w:r>
      <w:r>
        <w:rPr>
          <w:color w:val="010202"/>
          <w:spacing w:val="-4"/>
          <w:sz w:val="20"/>
        </w:rPr>
        <w:t xml:space="preserve"> </w:t>
      </w:r>
      <w:r>
        <w:rPr>
          <w:color w:val="010202"/>
          <w:sz w:val="20"/>
        </w:rPr>
        <w:t>about</w:t>
      </w:r>
      <w:r>
        <w:rPr>
          <w:color w:val="010202"/>
          <w:spacing w:val="-4"/>
          <w:sz w:val="20"/>
        </w:rPr>
        <w:t xml:space="preserve"> </w:t>
      </w:r>
      <w:r>
        <w:rPr>
          <w:color w:val="010202"/>
          <w:sz w:val="20"/>
        </w:rPr>
        <w:t>how</w:t>
      </w:r>
      <w:r>
        <w:rPr>
          <w:color w:val="010202"/>
          <w:spacing w:val="-4"/>
          <w:sz w:val="20"/>
        </w:rPr>
        <w:t xml:space="preserve"> </w:t>
      </w:r>
      <w:r>
        <w:rPr>
          <w:color w:val="010202"/>
          <w:sz w:val="20"/>
        </w:rPr>
        <w:t>to</w:t>
      </w:r>
      <w:r>
        <w:rPr>
          <w:color w:val="010202"/>
          <w:spacing w:val="-3"/>
          <w:sz w:val="20"/>
        </w:rPr>
        <w:t xml:space="preserve"> </w:t>
      </w:r>
      <w:r>
        <w:rPr>
          <w:color w:val="010202"/>
          <w:sz w:val="20"/>
        </w:rPr>
        <w:t>resolve</w:t>
      </w:r>
      <w:r>
        <w:rPr>
          <w:color w:val="010202"/>
          <w:spacing w:val="-3"/>
          <w:sz w:val="20"/>
        </w:rPr>
        <w:t xml:space="preserve"> </w:t>
      </w:r>
      <w:r>
        <w:rPr>
          <w:color w:val="010202"/>
          <w:sz w:val="20"/>
        </w:rPr>
        <w:t>the</w:t>
      </w:r>
      <w:r>
        <w:rPr>
          <w:color w:val="010202"/>
          <w:spacing w:val="-2"/>
          <w:sz w:val="20"/>
        </w:rPr>
        <w:t xml:space="preserve"> complaint</w:t>
      </w:r>
    </w:p>
    <w:p w14:paraId="1C63B37C" w14:textId="77777777" w:rsidR="004C1D51" w:rsidRDefault="004C1D51">
      <w:pPr>
        <w:pStyle w:val="ListParagraph"/>
        <w:widowControl w:val="0"/>
        <w:numPr>
          <w:ilvl w:val="0"/>
          <w:numId w:val="53"/>
        </w:numPr>
        <w:tabs>
          <w:tab w:val="left" w:pos="681"/>
        </w:tabs>
        <w:autoSpaceDE w:val="0"/>
        <w:autoSpaceDN w:val="0"/>
        <w:spacing w:before="50" w:after="0" w:line="240" w:lineRule="auto"/>
        <w:contextualSpacing w:val="0"/>
        <w:rPr>
          <w:sz w:val="20"/>
        </w:rPr>
      </w:pPr>
      <w:r>
        <w:rPr>
          <w:color w:val="010202"/>
          <w:sz w:val="20"/>
        </w:rPr>
        <w:t>ensure</w:t>
      </w:r>
      <w:r>
        <w:rPr>
          <w:color w:val="010202"/>
          <w:spacing w:val="-4"/>
          <w:sz w:val="20"/>
        </w:rPr>
        <w:t xml:space="preserve"> </w:t>
      </w:r>
      <w:r>
        <w:rPr>
          <w:color w:val="010202"/>
          <w:sz w:val="20"/>
        </w:rPr>
        <w:t>the</w:t>
      </w:r>
      <w:r>
        <w:rPr>
          <w:color w:val="010202"/>
          <w:spacing w:val="-4"/>
          <w:sz w:val="20"/>
        </w:rPr>
        <w:t xml:space="preserve"> </w:t>
      </w:r>
      <w:r>
        <w:rPr>
          <w:color w:val="010202"/>
          <w:sz w:val="20"/>
        </w:rPr>
        <w:t>process</w:t>
      </w:r>
      <w:r>
        <w:rPr>
          <w:color w:val="010202"/>
          <w:spacing w:val="-4"/>
          <w:sz w:val="20"/>
        </w:rPr>
        <w:t xml:space="preserve"> </w:t>
      </w:r>
      <w:r>
        <w:rPr>
          <w:color w:val="010202"/>
          <w:sz w:val="20"/>
        </w:rPr>
        <w:t>is</w:t>
      </w:r>
      <w:r>
        <w:rPr>
          <w:color w:val="010202"/>
          <w:spacing w:val="-3"/>
          <w:sz w:val="20"/>
        </w:rPr>
        <w:t xml:space="preserve"> </w:t>
      </w:r>
      <w:r>
        <w:rPr>
          <w:color w:val="010202"/>
          <w:spacing w:val="-4"/>
          <w:sz w:val="20"/>
        </w:rPr>
        <w:t>fair</w:t>
      </w:r>
    </w:p>
    <w:p w14:paraId="37E95C1D" w14:textId="77777777" w:rsidR="004C1D51" w:rsidRDefault="004C1D51" w:rsidP="004C1D51">
      <w:pPr>
        <w:pStyle w:val="BodyText"/>
        <w:spacing w:before="8"/>
        <w:rPr>
          <w:sz w:val="21"/>
        </w:rPr>
      </w:pPr>
    </w:p>
    <w:p w14:paraId="0E7F83A1" w14:textId="77777777" w:rsidR="004C1D51" w:rsidRDefault="004C1D51" w:rsidP="004C1D51">
      <w:pPr>
        <w:pStyle w:val="BodyText"/>
        <w:spacing w:before="1" w:line="290" w:lineRule="auto"/>
        <w:ind w:left="113" w:right="380"/>
      </w:pPr>
      <w:r>
        <w:rPr>
          <w:color w:val="010202"/>
        </w:rPr>
        <w:t>A</w:t>
      </w:r>
      <w:r>
        <w:rPr>
          <w:color w:val="010202"/>
          <w:spacing w:val="-14"/>
        </w:rPr>
        <w:t xml:space="preserve"> </w:t>
      </w:r>
      <w:r>
        <w:rPr>
          <w:color w:val="010202"/>
        </w:rPr>
        <w:t>conciliator</w:t>
      </w:r>
      <w:r>
        <w:rPr>
          <w:color w:val="010202"/>
          <w:spacing w:val="-3"/>
        </w:rPr>
        <w:t xml:space="preserve"> </w:t>
      </w:r>
      <w:r>
        <w:rPr>
          <w:color w:val="010202"/>
        </w:rPr>
        <w:t>from</w:t>
      </w:r>
      <w:r>
        <w:rPr>
          <w:color w:val="010202"/>
          <w:spacing w:val="-3"/>
        </w:rPr>
        <w:t xml:space="preserve"> </w:t>
      </w:r>
      <w:r>
        <w:rPr>
          <w:color w:val="010202"/>
        </w:rPr>
        <w:t>the</w:t>
      </w:r>
      <w:r>
        <w:rPr>
          <w:color w:val="010202"/>
          <w:spacing w:val="-3"/>
        </w:rPr>
        <w:t xml:space="preserve"> </w:t>
      </w:r>
      <w:r>
        <w:rPr>
          <w:color w:val="010202"/>
        </w:rPr>
        <w:t>Commission</w:t>
      </w:r>
      <w:r>
        <w:rPr>
          <w:color w:val="010202"/>
          <w:spacing w:val="-4"/>
        </w:rPr>
        <w:t xml:space="preserve"> </w:t>
      </w:r>
      <w:r>
        <w:rPr>
          <w:color w:val="010202"/>
        </w:rPr>
        <w:t>will</w:t>
      </w:r>
      <w:r>
        <w:rPr>
          <w:color w:val="010202"/>
          <w:spacing w:val="-4"/>
        </w:rPr>
        <w:t xml:space="preserve"> </w:t>
      </w:r>
      <w:r>
        <w:rPr>
          <w:color w:val="010202"/>
        </w:rPr>
        <w:t>manage</w:t>
      </w:r>
      <w:r>
        <w:rPr>
          <w:color w:val="010202"/>
          <w:spacing w:val="-3"/>
        </w:rPr>
        <w:t xml:space="preserve"> </w:t>
      </w:r>
      <w:r>
        <w:rPr>
          <w:color w:val="010202"/>
        </w:rPr>
        <w:t>your</w:t>
      </w:r>
      <w:r>
        <w:rPr>
          <w:color w:val="010202"/>
          <w:spacing w:val="-3"/>
        </w:rPr>
        <w:t xml:space="preserve"> </w:t>
      </w:r>
      <w:r>
        <w:rPr>
          <w:color w:val="010202"/>
        </w:rPr>
        <w:t>complaint</w:t>
      </w:r>
      <w:r>
        <w:rPr>
          <w:color w:val="010202"/>
          <w:spacing w:val="-3"/>
        </w:rPr>
        <w:t xml:space="preserve"> </w:t>
      </w:r>
      <w:r>
        <w:rPr>
          <w:color w:val="010202"/>
        </w:rPr>
        <w:t>and</w:t>
      </w:r>
      <w:r>
        <w:rPr>
          <w:color w:val="010202"/>
          <w:spacing w:val="-4"/>
        </w:rPr>
        <w:t xml:space="preserve"> </w:t>
      </w:r>
      <w:r>
        <w:rPr>
          <w:color w:val="010202"/>
        </w:rPr>
        <w:t>be</w:t>
      </w:r>
      <w:r>
        <w:rPr>
          <w:color w:val="010202"/>
          <w:spacing w:val="-4"/>
        </w:rPr>
        <w:t xml:space="preserve"> </w:t>
      </w:r>
      <w:r>
        <w:rPr>
          <w:color w:val="010202"/>
        </w:rPr>
        <w:t>available</w:t>
      </w:r>
      <w:r>
        <w:rPr>
          <w:color w:val="010202"/>
          <w:spacing w:val="-4"/>
        </w:rPr>
        <w:t xml:space="preserve"> </w:t>
      </w:r>
      <w:r>
        <w:rPr>
          <w:color w:val="010202"/>
        </w:rPr>
        <w:t>to</w:t>
      </w:r>
      <w:r>
        <w:rPr>
          <w:color w:val="010202"/>
          <w:spacing w:val="-3"/>
        </w:rPr>
        <w:t xml:space="preserve"> </w:t>
      </w:r>
      <w:r>
        <w:rPr>
          <w:color w:val="010202"/>
        </w:rPr>
        <w:t xml:space="preserve">provide </w:t>
      </w:r>
      <w:proofErr w:type="spellStart"/>
      <w:r>
        <w:rPr>
          <w:color w:val="010202"/>
        </w:rPr>
        <w:t>nformation</w:t>
      </w:r>
      <w:proofErr w:type="spellEnd"/>
      <w:r>
        <w:rPr>
          <w:color w:val="010202"/>
        </w:rPr>
        <w:t xml:space="preserve"> and explain the process, but will not advocate on your behalf.</w:t>
      </w:r>
    </w:p>
    <w:p w14:paraId="4CE968B7" w14:textId="77777777" w:rsidR="004C1D51" w:rsidRDefault="004C1D51" w:rsidP="004C1D51">
      <w:pPr>
        <w:pStyle w:val="BodyText"/>
        <w:spacing w:before="169" w:line="290" w:lineRule="auto"/>
        <w:ind w:left="113" w:right="380"/>
      </w:pPr>
      <w:r>
        <w:rPr>
          <w:color w:val="010202"/>
        </w:rPr>
        <w:t>Many complaints are resolved through the conciliation process. This involves bringing all the parties</w:t>
      </w:r>
      <w:r>
        <w:rPr>
          <w:color w:val="010202"/>
          <w:spacing w:val="-3"/>
        </w:rPr>
        <w:t xml:space="preserve"> </w:t>
      </w:r>
      <w:r>
        <w:rPr>
          <w:color w:val="010202"/>
        </w:rPr>
        <w:t>together</w:t>
      </w:r>
      <w:r>
        <w:rPr>
          <w:color w:val="010202"/>
          <w:spacing w:val="-2"/>
        </w:rPr>
        <w:t xml:space="preserve"> </w:t>
      </w:r>
      <w:r>
        <w:rPr>
          <w:color w:val="010202"/>
        </w:rPr>
        <w:t>(in</w:t>
      </w:r>
      <w:r>
        <w:rPr>
          <w:color w:val="010202"/>
          <w:spacing w:val="-2"/>
        </w:rPr>
        <w:t xml:space="preserve"> </w:t>
      </w:r>
      <w:r>
        <w:rPr>
          <w:color w:val="010202"/>
        </w:rPr>
        <w:t>person,</w:t>
      </w:r>
      <w:r>
        <w:rPr>
          <w:color w:val="010202"/>
          <w:spacing w:val="-3"/>
        </w:rPr>
        <w:t xml:space="preserve"> </w:t>
      </w:r>
      <w:r>
        <w:rPr>
          <w:color w:val="010202"/>
        </w:rPr>
        <w:t>by</w:t>
      </w:r>
      <w:r>
        <w:rPr>
          <w:color w:val="010202"/>
          <w:spacing w:val="-3"/>
        </w:rPr>
        <w:t xml:space="preserve"> </w:t>
      </w:r>
      <w:r>
        <w:rPr>
          <w:color w:val="010202"/>
        </w:rPr>
        <w:t>phone,</w:t>
      </w:r>
      <w:r>
        <w:rPr>
          <w:color w:val="010202"/>
          <w:spacing w:val="-3"/>
        </w:rPr>
        <w:t xml:space="preserve"> </w:t>
      </w:r>
      <w:r>
        <w:rPr>
          <w:color w:val="010202"/>
        </w:rPr>
        <w:t>or</w:t>
      </w:r>
      <w:r>
        <w:rPr>
          <w:color w:val="010202"/>
          <w:spacing w:val="-3"/>
        </w:rPr>
        <w:t xml:space="preserve"> </w:t>
      </w:r>
      <w:r>
        <w:rPr>
          <w:color w:val="010202"/>
        </w:rPr>
        <w:t>online)</w:t>
      </w:r>
      <w:r>
        <w:rPr>
          <w:color w:val="010202"/>
          <w:spacing w:val="-3"/>
        </w:rPr>
        <w:t xml:space="preserve"> </w:t>
      </w:r>
      <w:r>
        <w:rPr>
          <w:color w:val="010202"/>
        </w:rPr>
        <w:t>at</w:t>
      </w:r>
      <w:r>
        <w:rPr>
          <w:color w:val="010202"/>
          <w:spacing w:val="-3"/>
        </w:rPr>
        <w:t xml:space="preserve"> </w:t>
      </w:r>
      <w:r>
        <w:rPr>
          <w:color w:val="010202"/>
        </w:rPr>
        <w:t>a</w:t>
      </w:r>
      <w:r>
        <w:rPr>
          <w:color w:val="010202"/>
          <w:spacing w:val="-3"/>
        </w:rPr>
        <w:t xml:space="preserve"> </w:t>
      </w:r>
      <w:r>
        <w:rPr>
          <w:color w:val="010202"/>
        </w:rPr>
        <w:t>conciliation</w:t>
      </w:r>
      <w:r>
        <w:rPr>
          <w:color w:val="010202"/>
          <w:spacing w:val="-2"/>
        </w:rPr>
        <w:t xml:space="preserve"> </w:t>
      </w:r>
      <w:r>
        <w:rPr>
          <w:color w:val="010202"/>
        </w:rPr>
        <w:t>conference</w:t>
      </w:r>
      <w:r>
        <w:rPr>
          <w:color w:val="010202"/>
          <w:spacing w:val="-2"/>
        </w:rPr>
        <w:t xml:space="preserve"> </w:t>
      </w:r>
      <w:r>
        <w:rPr>
          <w:color w:val="010202"/>
        </w:rPr>
        <w:t>to</w:t>
      </w:r>
      <w:r>
        <w:rPr>
          <w:color w:val="010202"/>
          <w:spacing w:val="-2"/>
        </w:rPr>
        <w:t xml:space="preserve"> </w:t>
      </w:r>
      <w:r>
        <w:rPr>
          <w:color w:val="010202"/>
        </w:rPr>
        <w:t>discuss</w:t>
      </w:r>
      <w:r>
        <w:rPr>
          <w:color w:val="010202"/>
          <w:spacing w:val="-3"/>
        </w:rPr>
        <w:t xml:space="preserve"> </w:t>
      </w:r>
      <w:r>
        <w:rPr>
          <w:color w:val="010202"/>
        </w:rPr>
        <w:t>the</w:t>
      </w:r>
      <w:r>
        <w:rPr>
          <w:color w:val="010202"/>
          <w:spacing w:val="-2"/>
        </w:rPr>
        <w:t xml:space="preserve"> </w:t>
      </w:r>
      <w:r>
        <w:rPr>
          <w:color w:val="010202"/>
        </w:rPr>
        <w:t>issues and try to resolve them.</w:t>
      </w:r>
    </w:p>
    <w:p w14:paraId="31631B49" w14:textId="77777777" w:rsidR="004C1D51" w:rsidRDefault="004C1D51" w:rsidP="004C1D51">
      <w:pPr>
        <w:pStyle w:val="BodyText"/>
        <w:spacing w:before="168" w:line="290" w:lineRule="auto"/>
        <w:ind w:left="113"/>
      </w:pPr>
      <w:r>
        <w:rPr>
          <w:color w:val="010202"/>
        </w:rPr>
        <w:t>We</w:t>
      </w:r>
      <w:r>
        <w:rPr>
          <w:color w:val="010202"/>
          <w:spacing w:val="-3"/>
        </w:rPr>
        <w:t xml:space="preserve"> </w:t>
      </w:r>
      <w:r>
        <w:rPr>
          <w:color w:val="010202"/>
        </w:rPr>
        <w:t>are</w:t>
      </w:r>
      <w:r>
        <w:rPr>
          <w:color w:val="010202"/>
          <w:spacing w:val="-3"/>
        </w:rPr>
        <w:t xml:space="preserve"> </w:t>
      </w:r>
      <w:r>
        <w:rPr>
          <w:color w:val="010202"/>
        </w:rPr>
        <w:t>not</w:t>
      </w:r>
      <w:r>
        <w:rPr>
          <w:color w:val="010202"/>
          <w:spacing w:val="-3"/>
        </w:rPr>
        <w:t xml:space="preserve"> </w:t>
      </w:r>
      <w:r>
        <w:rPr>
          <w:color w:val="010202"/>
        </w:rPr>
        <w:t>a</w:t>
      </w:r>
      <w:r>
        <w:rPr>
          <w:color w:val="010202"/>
          <w:spacing w:val="-3"/>
        </w:rPr>
        <w:t xml:space="preserve"> </w:t>
      </w:r>
      <w:r>
        <w:rPr>
          <w:color w:val="010202"/>
        </w:rPr>
        <w:t>court</w:t>
      </w:r>
      <w:r>
        <w:rPr>
          <w:color w:val="010202"/>
          <w:spacing w:val="-2"/>
        </w:rPr>
        <w:t xml:space="preserve"> </w:t>
      </w:r>
      <w:r>
        <w:rPr>
          <w:color w:val="010202"/>
        </w:rPr>
        <w:t>or</w:t>
      </w:r>
      <w:r>
        <w:rPr>
          <w:color w:val="010202"/>
          <w:spacing w:val="-3"/>
        </w:rPr>
        <w:t xml:space="preserve"> </w:t>
      </w:r>
      <w:r>
        <w:rPr>
          <w:color w:val="010202"/>
        </w:rPr>
        <w:t>tribunal,</w:t>
      </w:r>
      <w:r>
        <w:rPr>
          <w:color w:val="010202"/>
          <w:spacing w:val="-2"/>
        </w:rPr>
        <w:t xml:space="preserve"> </w:t>
      </w:r>
      <w:r>
        <w:rPr>
          <w:color w:val="010202"/>
        </w:rPr>
        <w:t>and</w:t>
      </w:r>
      <w:r>
        <w:rPr>
          <w:color w:val="010202"/>
          <w:spacing w:val="-3"/>
        </w:rPr>
        <w:t xml:space="preserve"> </w:t>
      </w:r>
      <w:r>
        <w:rPr>
          <w:color w:val="010202"/>
        </w:rPr>
        <w:t>don’t</w:t>
      </w:r>
      <w:r>
        <w:rPr>
          <w:color w:val="010202"/>
          <w:spacing w:val="-3"/>
        </w:rPr>
        <w:t xml:space="preserve"> </w:t>
      </w:r>
      <w:r>
        <w:rPr>
          <w:color w:val="010202"/>
        </w:rPr>
        <w:t>have</w:t>
      </w:r>
      <w:r>
        <w:rPr>
          <w:color w:val="010202"/>
          <w:spacing w:val="-3"/>
        </w:rPr>
        <w:t xml:space="preserve"> </w:t>
      </w:r>
      <w:r>
        <w:rPr>
          <w:color w:val="010202"/>
        </w:rPr>
        <w:t>the</w:t>
      </w:r>
      <w:r>
        <w:rPr>
          <w:color w:val="010202"/>
          <w:spacing w:val="-2"/>
        </w:rPr>
        <w:t xml:space="preserve"> </w:t>
      </w:r>
      <w:r>
        <w:rPr>
          <w:color w:val="010202"/>
        </w:rPr>
        <w:t>power</w:t>
      </w:r>
      <w:r>
        <w:rPr>
          <w:color w:val="010202"/>
          <w:spacing w:val="-3"/>
        </w:rPr>
        <w:t xml:space="preserve"> </w:t>
      </w:r>
      <w:r>
        <w:rPr>
          <w:color w:val="010202"/>
        </w:rPr>
        <w:t>to</w:t>
      </w:r>
      <w:r>
        <w:rPr>
          <w:color w:val="010202"/>
          <w:spacing w:val="-2"/>
        </w:rPr>
        <w:t xml:space="preserve"> </w:t>
      </w:r>
      <w:r>
        <w:rPr>
          <w:color w:val="010202"/>
        </w:rPr>
        <w:t>decide</w:t>
      </w:r>
      <w:r>
        <w:rPr>
          <w:color w:val="010202"/>
          <w:spacing w:val="-3"/>
        </w:rPr>
        <w:t xml:space="preserve"> </w:t>
      </w:r>
      <w:r>
        <w:rPr>
          <w:color w:val="010202"/>
        </w:rPr>
        <w:t>if</w:t>
      </w:r>
      <w:r>
        <w:rPr>
          <w:color w:val="010202"/>
          <w:spacing w:val="-3"/>
        </w:rPr>
        <w:t xml:space="preserve"> </w:t>
      </w:r>
      <w:r>
        <w:rPr>
          <w:color w:val="010202"/>
        </w:rPr>
        <w:t>discrimination,</w:t>
      </w:r>
      <w:r>
        <w:rPr>
          <w:color w:val="010202"/>
          <w:spacing w:val="-3"/>
        </w:rPr>
        <w:t xml:space="preserve"> </w:t>
      </w:r>
      <w:r>
        <w:rPr>
          <w:color w:val="010202"/>
        </w:rPr>
        <w:t>harassment,</w:t>
      </w:r>
      <w:r>
        <w:rPr>
          <w:color w:val="010202"/>
          <w:spacing w:val="-3"/>
        </w:rPr>
        <w:t xml:space="preserve"> </w:t>
      </w:r>
      <w:r>
        <w:rPr>
          <w:color w:val="010202"/>
        </w:rPr>
        <w:t>or limitations on human rights have happened.</w:t>
      </w:r>
    </w:p>
    <w:p w14:paraId="421A7B16" w14:textId="77777777" w:rsidR="004C1D51" w:rsidRDefault="004C1D51" w:rsidP="004C1D51">
      <w:pPr>
        <w:pStyle w:val="BodyText"/>
        <w:spacing w:before="169" w:line="290" w:lineRule="auto"/>
        <w:ind w:left="113" w:right="380"/>
      </w:pPr>
      <w:r>
        <w:rPr>
          <w:color w:val="010202"/>
        </w:rPr>
        <w:t>Read</w:t>
      </w:r>
      <w:r>
        <w:rPr>
          <w:color w:val="010202"/>
          <w:spacing w:val="-4"/>
        </w:rPr>
        <w:t xml:space="preserve"> </w:t>
      </w:r>
      <w:r>
        <w:rPr>
          <w:color w:val="010202"/>
        </w:rPr>
        <w:t>more</w:t>
      </w:r>
      <w:r>
        <w:rPr>
          <w:color w:val="010202"/>
          <w:spacing w:val="-3"/>
        </w:rPr>
        <w:t xml:space="preserve"> </w:t>
      </w:r>
      <w:r>
        <w:rPr>
          <w:color w:val="010202"/>
        </w:rPr>
        <w:t>about</w:t>
      </w:r>
      <w:r>
        <w:rPr>
          <w:color w:val="010202"/>
          <w:spacing w:val="-4"/>
        </w:rPr>
        <w:t xml:space="preserve"> </w:t>
      </w:r>
      <w:r>
        <w:rPr>
          <w:color w:val="010202"/>
        </w:rPr>
        <w:t>conciliation</w:t>
      </w:r>
      <w:r>
        <w:rPr>
          <w:color w:val="010202"/>
          <w:spacing w:val="-3"/>
        </w:rPr>
        <w:t xml:space="preserve"> </w:t>
      </w:r>
      <w:r>
        <w:rPr>
          <w:color w:val="010202"/>
        </w:rPr>
        <w:t>conferences</w:t>
      </w:r>
      <w:r>
        <w:rPr>
          <w:color w:val="010202"/>
          <w:spacing w:val="-3"/>
        </w:rPr>
        <w:t xml:space="preserve"> </w:t>
      </w:r>
      <w:r>
        <w:rPr>
          <w:color w:val="010202"/>
        </w:rPr>
        <w:t>on</w:t>
      </w:r>
      <w:r>
        <w:rPr>
          <w:color w:val="010202"/>
          <w:spacing w:val="-4"/>
        </w:rPr>
        <w:t xml:space="preserve"> </w:t>
      </w:r>
      <w:r>
        <w:rPr>
          <w:color w:val="010202"/>
        </w:rPr>
        <w:t>our</w:t>
      </w:r>
      <w:r>
        <w:rPr>
          <w:color w:val="010202"/>
          <w:spacing w:val="-13"/>
        </w:rPr>
        <w:t xml:space="preserve"> </w:t>
      </w:r>
      <w:r>
        <w:rPr>
          <w:color w:val="010202"/>
        </w:rPr>
        <w:t>All</w:t>
      </w:r>
      <w:r>
        <w:rPr>
          <w:color w:val="010202"/>
          <w:spacing w:val="-3"/>
        </w:rPr>
        <w:t xml:space="preserve"> </w:t>
      </w:r>
      <w:r>
        <w:rPr>
          <w:color w:val="010202"/>
        </w:rPr>
        <w:t>about</w:t>
      </w:r>
      <w:r>
        <w:rPr>
          <w:color w:val="010202"/>
          <w:spacing w:val="-4"/>
        </w:rPr>
        <w:t xml:space="preserve"> </w:t>
      </w:r>
      <w:r>
        <w:rPr>
          <w:color w:val="010202"/>
        </w:rPr>
        <w:t>conciliation</w:t>
      </w:r>
      <w:r>
        <w:rPr>
          <w:color w:val="010202"/>
          <w:spacing w:val="-3"/>
        </w:rPr>
        <w:t xml:space="preserve"> </w:t>
      </w:r>
      <w:r>
        <w:rPr>
          <w:color w:val="010202"/>
        </w:rPr>
        <w:t>fact</w:t>
      </w:r>
      <w:r>
        <w:rPr>
          <w:color w:val="010202"/>
          <w:spacing w:val="-3"/>
        </w:rPr>
        <w:t xml:space="preserve"> </w:t>
      </w:r>
      <w:r>
        <w:rPr>
          <w:color w:val="010202"/>
        </w:rPr>
        <w:t>sheet,</w:t>
      </w:r>
      <w:r>
        <w:rPr>
          <w:color w:val="010202"/>
          <w:spacing w:val="-3"/>
        </w:rPr>
        <w:t xml:space="preserve"> </w:t>
      </w:r>
      <w:r>
        <w:rPr>
          <w:color w:val="010202"/>
        </w:rPr>
        <w:t>available</w:t>
      </w:r>
      <w:r>
        <w:rPr>
          <w:color w:val="010202"/>
          <w:spacing w:val="-4"/>
        </w:rPr>
        <w:t xml:space="preserve"> </w:t>
      </w:r>
      <w:r>
        <w:rPr>
          <w:color w:val="010202"/>
        </w:rPr>
        <w:t xml:space="preserve">from our website at </w:t>
      </w:r>
      <w:hyperlink r:id="rId146" w:history="1">
        <w:r>
          <w:rPr>
            <w:rStyle w:val="Hyperlink"/>
            <w:color w:val="010202"/>
          </w:rPr>
          <w:t>https://www.qhrc.qld.gov.au/resources/fact-sheets.</w:t>
        </w:r>
      </w:hyperlink>
    </w:p>
    <w:p w14:paraId="1074C649" w14:textId="1FF75FC7" w:rsidR="004C1D51" w:rsidRDefault="004C1D51" w:rsidP="0047630B">
      <w:pPr>
        <w:pStyle w:val="BodyText"/>
        <w:spacing w:before="169" w:line="290" w:lineRule="auto"/>
        <w:ind w:left="113" w:right="380"/>
        <w:sectPr w:rsidR="004C1D51" w:rsidSect="0047630B">
          <w:pgSz w:w="11910" w:h="16840"/>
          <w:pgMar w:top="709" w:right="1680" w:bottom="740" w:left="1020" w:header="0" w:footer="548" w:gutter="0"/>
          <w:cols w:space="720"/>
        </w:sectPr>
      </w:pPr>
      <w:r>
        <w:rPr>
          <w:color w:val="010202"/>
        </w:rPr>
        <w:t>If</w:t>
      </w:r>
      <w:r>
        <w:rPr>
          <w:color w:val="010202"/>
          <w:spacing w:val="-2"/>
        </w:rPr>
        <w:t xml:space="preserve"> </w:t>
      </w:r>
      <w:r>
        <w:rPr>
          <w:color w:val="010202"/>
        </w:rPr>
        <w:t>you</w:t>
      </w:r>
      <w:r>
        <w:rPr>
          <w:color w:val="010202"/>
          <w:spacing w:val="-2"/>
        </w:rPr>
        <w:t xml:space="preserve"> </w:t>
      </w:r>
      <w:r>
        <w:rPr>
          <w:color w:val="010202"/>
        </w:rPr>
        <w:t>want</w:t>
      </w:r>
      <w:r>
        <w:rPr>
          <w:color w:val="010202"/>
          <w:spacing w:val="-3"/>
        </w:rPr>
        <w:t xml:space="preserve"> </w:t>
      </w:r>
      <w:r>
        <w:rPr>
          <w:color w:val="010202"/>
        </w:rPr>
        <w:t>someone</w:t>
      </w:r>
      <w:r>
        <w:rPr>
          <w:color w:val="010202"/>
          <w:spacing w:val="-2"/>
        </w:rPr>
        <w:t xml:space="preserve"> </w:t>
      </w:r>
      <w:r>
        <w:rPr>
          <w:color w:val="010202"/>
        </w:rPr>
        <w:t>to</w:t>
      </w:r>
      <w:r>
        <w:rPr>
          <w:color w:val="010202"/>
          <w:spacing w:val="-2"/>
        </w:rPr>
        <w:t xml:space="preserve"> </w:t>
      </w:r>
      <w:r>
        <w:rPr>
          <w:color w:val="010202"/>
        </w:rPr>
        <w:t>advocate</w:t>
      </w:r>
      <w:r>
        <w:rPr>
          <w:color w:val="010202"/>
          <w:spacing w:val="-3"/>
        </w:rPr>
        <w:t xml:space="preserve"> </w:t>
      </w:r>
      <w:r>
        <w:rPr>
          <w:color w:val="010202"/>
        </w:rPr>
        <w:t>for</w:t>
      </w:r>
      <w:r>
        <w:rPr>
          <w:color w:val="010202"/>
          <w:spacing w:val="-2"/>
        </w:rPr>
        <w:t xml:space="preserve"> </w:t>
      </w:r>
      <w:r>
        <w:rPr>
          <w:color w:val="010202"/>
        </w:rPr>
        <w:t>you</w:t>
      </w:r>
      <w:r>
        <w:rPr>
          <w:color w:val="010202"/>
          <w:spacing w:val="-2"/>
        </w:rPr>
        <w:t xml:space="preserve"> </w:t>
      </w:r>
      <w:r>
        <w:rPr>
          <w:color w:val="010202"/>
        </w:rPr>
        <w:t>in</w:t>
      </w:r>
      <w:r>
        <w:rPr>
          <w:color w:val="010202"/>
          <w:spacing w:val="-3"/>
        </w:rPr>
        <w:t xml:space="preserve"> </w:t>
      </w:r>
      <w:r>
        <w:rPr>
          <w:color w:val="010202"/>
        </w:rPr>
        <w:t>the</w:t>
      </w:r>
      <w:r>
        <w:rPr>
          <w:color w:val="010202"/>
          <w:spacing w:val="-2"/>
        </w:rPr>
        <w:t xml:space="preserve"> </w:t>
      </w:r>
      <w:r>
        <w:rPr>
          <w:color w:val="010202"/>
        </w:rPr>
        <w:t>complaints</w:t>
      </w:r>
      <w:r>
        <w:rPr>
          <w:color w:val="010202"/>
          <w:spacing w:val="-2"/>
        </w:rPr>
        <w:t xml:space="preserve"> </w:t>
      </w:r>
      <w:r>
        <w:rPr>
          <w:color w:val="010202"/>
        </w:rPr>
        <w:t>process,</w:t>
      </w:r>
      <w:r>
        <w:rPr>
          <w:color w:val="010202"/>
          <w:spacing w:val="-3"/>
        </w:rPr>
        <w:t xml:space="preserve"> </w:t>
      </w:r>
      <w:r>
        <w:rPr>
          <w:color w:val="010202"/>
        </w:rPr>
        <w:t>you</w:t>
      </w:r>
      <w:r>
        <w:rPr>
          <w:color w:val="010202"/>
          <w:spacing w:val="-2"/>
        </w:rPr>
        <w:t xml:space="preserve"> </w:t>
      </w:r>
      <w:r>
        <w:rPr>
          <w:color w:val="010202"/>
        </w:rPr>
        <w:t>should</w:t>
      </w:r>
      <w:r>
        <w:rPr>
          <w:color w:val="010202"/>
          <w:spacing w:val="-2"/>
        </w:rPr>
        <w:t xml:space="preserve"> </w:t>
      </w:r>
      <w:r>
        <w:rPr>
          <w:color w:val="010202"/>
        </w:rPr>
        <w:t>get</w:t>
      </w:r>
      <w:r>
        <w:rPr>
          <w:color w:val="010202"/>
          <w:spacing w:val="-3"/>
        </w:rPr>
        <w:t xml:space="preserve"> </w:t>
      </w:r>
      <w:r>
        <w:rPr>
          <w:color w:val="010202"/>
        </w:rPr>
        <w:t>legal</w:t>
      </w:r>
      <w:r>
        <w:rPr>
          <w:color w:val="010202"/>
          <w:spacing w:val="-3"/>
        </w:rPr>
        <w:t xml:space="preserve"> </w:t>
      </w:r>
      <w:r>
        <w:rPr>
          <w:color w:val="010202"/>
        </w:rPr>
        <w:t>advice</w:t>
      </w:r>
      <w:r>
        <w:rPr>
          <w:color w:val="010202"/>
          <w:spacing w:val="-3"/>
        </w:rPr>
        <w:t xml:space="preserve"> </w:t>
      </w:r>
      <w:r>
        <w:rPr>
          <w:color w:val="010202"/>
        </w:rPr>
        <w:t>or other support - see the ‘Do I need a lawyer?’</w:t>
      </w:r>
      <w:r>
        <w:rPr>
          <w:color w:val="010202"/>
          <w:spacing w:val="-1"/>
        </w:rPr>
        <w:t xml:space="preserve"> </w:t>
      </w:r>
      <w:r>
        <w:rPr>
          <w:color w:val="010202"/>
        </w:rPr>
        <w:t>information further up on this fact sheet</w:t>
      </w:r>
    </w:p>
    <w:p w14:paraId="246FB18E" w14:textId="7C99A7F3" w:rsidR="004C1D51" w:rsidRPr="0047630B" w:rsidRDefault="004C1D51" w:rsidP="004C1D51">
      <w:pPr>
        <w:pStyle w:val="BodyText"/>
      </w:pPr>
    </w:p>
    <w:p w14:paraId="6BFB5C71" w14:textId="77777777" w:rsidR="004C1D51" w:rsidRDefault="004C1D51" w:rsidP="004C1D51">
      <w:pPr>
        <w:pStyle w:val="Heading1"/>
        <w:spacing w:before="88"/>
      </w:pPr>
      <w:bookmarkStart w:id="207" w:name="_Toc131144730"/>
      <w:r>
        <w:rPr>
          <w:color w:val="347A9F"/>
        </w:rPr>
        <w:t>Privacy</w:t>
      </w:r>
      <w:r>
        <w:rPr>
          <w:color w:val="347A9F"/>
          <w:spacing w:val="-5"/>
        </w:rPr>
        <w:t xml:space="preserve"> </w:t>
      </w:r>
      <w:r>
        <w:rPr>
          <w:color w:val="347A9F"/>
        </w:rPr>
        <w:t>information</w:t>
      </w:r>
      <w:r>
        <w:rPr>
          <w:color w:val="347A9F"/>
          <w:spacing w:val="-3"/>
        </w:rPr>
        <w:t xml:space="preserve"> </w:t>
      </w:r>
      <w:r>
        <w:rPr>
          <w:color w:val="347A9F"/>
        </w:rPr>
        <w:t>for</w:t>
      </w:r>
      <w:r>
        <w:rPr>
          <w:color w:val="347A9F"/>
          <w:spacing w:val="-3"/>
        </w:rPr>
        <w:t xml:space="preserve"> </w:t>
      </w:r>
      <w:r>
        <w:rPr>
          <w:color w:val="347A9F"/>
        </w:rPr>
        <w:t>people</w:t>
      </w:r>
      <w:r>
        <w:rPr>
          <w:color w:val="347A9F"/>
          <w:spacing w:val="-3"/>
        </w:rPr>
        <w:t xml:space="preserve"> </w:t>
      </w:r>
      <w:r>
        <w:rPr>
          <w:color w:val="347A9F"/>
        </w:rPr>
        <w:t>making</w:t>
      </w:r>
      <w:r>
        <w:rPr>
          <w:color w:val="347A9F"/>
          <w:spacing w:val="-3"/>
        </w:rPr>
        <w:t xml:space="preserve"> </w:t>
      </w:r>
      <w:r>
        <w:rPr>
          <w:color w:val="347A9F"/>
        </w:rPr>
        <w:t>a</w:t>
      </w:r>
      <w:r>
        <w:rPr>
          <w:color w:val="347A9F"/>
          <w:spacing w:val="-3"/>
        </w:rPr>
        <w:t xml:space="preserve"> </w:t>
      </w:r>
      <w:r>
        <w:rPr>
          <w:color w:val="347A9F"/>
          <w:spacing w:val="-2"/>
        </w:rPr>
        <w:t>complaint</w:t>
      </w:r>
      <w:bookmarkEnd w:id="207"/>
    </w:p>
    <w:p w14:paraId="25163C4F" w14:textId="77777777" w:rsidR="004C1D51" w:rsidRDefault="004C1D51" w:rsidP="004C1D51">
      <w:pPr>
        <w:pStyle w:val="BodyText"/>
        <w:spacing w:before="187" w:line="290" w:lineRule="auto"/>
        <w:ind w:left="113" w:right="380"/>
      </w:pPr>
      <w:r>
        <w:rPr>
          <w:color w:val="010202"/>
        </w:rPr>
        <w:t xml:space="preserve">If you make a complaint and it is accepted, a copy of it will be given to the respondent (person or </w:t>
      </w:r>
      <w:proofErr w:type="spellStart"/>
      <w:r>
        <w:rPr>
          <w:color w:val="010202"/>
        </w:rPr>
        <w:t>organisation</w:t>
      </w:r>
      <w:proofErr w:type="spellEnd"/>
      <w:r>
        <w:rPr>
          <w:color w:val="010202"/>
          <w:spacing w:val="-3"/>
        </w:rPr>
        <w:t xml:space="preserve"> </w:t>
      </w:r>
      <w:r>
        <w:rPr>
          <w:color w:val="010202"/>
        </w:rPr>
        <w:t>you</w:t>
      </w:r>
      <w:r>
        <w:rPr>
          <w:color w:val="010202"/>
          <w:spacing w:val="-3"/>
        </w:rPr>
        <w:t xml:space="preserve"> </w:t>
      </w:r>
      <w:r>
        <w:rPr>
          <w:color w:val="010202"/>
        </w:rPr>
        <w:t>are</w:t>
      </w:r>
      <w:r>
        <w:rPr>
          <w:color w:val="010202"/>
          <w:spacing w:val="-3"/>
        </w:rPr>
        <w:t xml:space="preserve"> </w:t>
      </w:r>
      <w:r>
        <w:rPr>
          <w:color w:val="010202"/>
        </w:rPr>
        <w:t>complaining</w:t>
      </w:r>
      <w:r>
        <w:rPr>
          <w:color w:val="010202"/>
          <w:spacing w:val="-3"/>
        </w:rPr>
        <w:t xml:space="preserve"> </w:t>
      </w:r>
      <w:r>
        <w:rPr>
          <w:color w:val="010202"/>
        </w:rPr>
        <w:t>about).</w:t>
      </w:r>
      <w:r>
        <w:rPr>
          <w:color w:val="010202"/>
          <w:spacing w:val="-6"/>
        </w:rPr>
        <w:t xml:space="preserve"> </w:t>
      </w:r>
      <w:r>
        <w:rPr>
          <w:color w:val="010202"/>
        </w:rPr>
        <w:t>This</w:t>
      </w:r>
      <w:r>
        <w:rPr>
          <w:color w:val="010202"/>
          <w:spacing w:val="-3"/>
        </w:rPr>
        <w:t xml:space="preserve"> </w:t>
      </w:r>
      <w:r>
        <w:rPr>
          <w:color w:val="010202"/>
        </w:rPr>
        <w:t>includes</w:t>
      </w:r>
      <w:r>
        <w:rPr>
          <w:color w:val="010202"/>
          <w:spacing w:val="-3"/>
        </w:rPr>
        <w:t xml:space="preserve"> </w:t>
      </w:r>
      <w:r>
        <w:rPr>
          <w:color w:val="010202"/>
        </w:rPr>
        <w:t>the</w:t>
      </w:r>
      <w:r>
        <w:rPr>
          <w:color w:val="010202"/>
          <w:spacing w:val="-3"/>
        </w:rPr>
        <w:t xml:space="preserve"> </w:t>
      </w:r>
      <w:r>
        <w:rPr>
          <w:color w:val="010202"/>
        </w:rPr>
        <w:t>address</w:t>
      </w:r>
      <w:r>
        <w:rPr>
          <w:color w:val="010202"/>
          <w:spacing w:val="-3"/>
        </w:rPr>
        <w:t xml:space="preserve"> </w:t>
      </w:r>
      <w:r>
        <w:rPr>
          <w:color w:val="010202"/>
        </w:rPr>
        <w:t>for</w:t>
      </w:r>
      <w:r>
        <w:rPr>
          <w:color w:val="010202"/>
          <w:spacing w:val="-3"/>
        </w:rPr>
        <w:t xml:space="preserve"> </w:t>
      </w:r>
      <w:r>
        <w:rPr>
          <w:color w:val="010202"/>
        </w:rPr>
        <w:t>delivery</w:t>
      </w:r>
      <w:r>
        <w:rPr>
          <w:color w:val="010202"/>
          <w:spacing w:val="-3"/>
        </w:rPr>
        <w:t xml:space="preserve"> </w:t>
      </w:r>
      <w:r>
        <w:rPr>
          <w:color w:val="010202"/>
        </w:rPr>
        <w:t>of</w:t>
      </w:r>
      <w:r>
        <w:rPr>
          <w:color w:val="010202"/>
          <w:spacing w:val="-3"/>
        </w:rPr>
        <w:t xml:space="preserve"> </w:t>
      </w:r>
      <w:r>
        <w:rPr>
          <w:color w:val="010202"/>
        </w:rPr>
        <w:t>mail</w:t>
      </w:r>
      <w:r>
        <w:rPr>
          <w:color w:val="010202"/>
          <w:spacing w:val="-3"/>
        </w:rPr>
        <w:t xml:space="preserve"> </w:t>
      </w:r>
      <w:r>
        <w:rPr>
          <w:color w:val="010202"/>
        </w:rPr>
        <w:t>you</w:t>
      </w:r>
      <w:r>
        <w:rPr>
          <w:color w:val="010202"/>
          <w:spacing w:val="-3"/>
        </w:rPr>
        <w:t xml:space="preserve"> </w:t>
      </w:r>
      <w:r>
        <w:rPr>
          <w:color w:val="010202"/>
        </w:rPr>
        <w:t xml:space="preserve">provide us with. If you want to keep your home address private, you can use an email address, a PO Box, or the address of an </w:t>
      </w:r>
      <w:proofErr w:type="spellStart"/>
      <w:r>
        <w:rPr>
          <w:color w:val="010202"/>
        </w:rPr>
        <w:t>organisation</w:t>
      </w:r>
      <w:proofErr w:type="spellEnd"/>
      <w:r>
        <w:rPr>
          <w:color w:val="010202"/>
        </w:rPr>
        <w:t>, lawyer, or other reliable person.</w:t>
      </w:r>
    </w:p>
    <w:p w14:paraId="611473D8" w14:textId="77777777" w:rsidR="004C1D51" w:rsidRDefault="004C1D51" w:rsidP="004C1D51">
      <w:pPr>
        <w:pStyle w:val="BodyText"/>
        <w:spacing w:before="167"/>
        <w:ind w:left="113"/>
      </w:pPr>
      <w:r>
        <w:rPr>
          <w:color w:val="010202"/>
        </w:rPr>
        <w:t>Otherwise,</w:t>
      </w:r>
      <w:r>
        <w:rPr>
          <w:color w:val="010202"/>
          <w:spacing w:val="-6"/>
        </w:rPr>
        <w:t xml:space="preserve"> </w:t>
      </w:r>
      <w:r>
        <w:rPr>
          <w:color w:val="010202"/>
        </w:rPr>
        <w:t>your</w:t>
      </w:r>
      <w:r>
        <w:rPr>
          <w:color w:val="010202"/>
          <w:spacing w:val="-4"/>
        </w:rPr>
        <w:t xml:space="preserve"> </w:t>
      </w:r>
      <w:r>
        <w:rPr>
          <w:color w:val="010202"/>
        </w:rPr>
        <w:t>personal</w:t>
      </w:r>
      <w:r>
        <w:rPr>
          <w:color w:val="010202"/>
          <w:spacing w:val="-4"/>
        </w:rPr>
        <w:t xml:space="preserve"> </w:t>
      </w:r>
      <w:r>
        <w:rPr>
          <w:color w:val="010202"/>
        </w:rPr>
        <w:t>information</w:t>
      </w:r>
      <w:r>
        <w:rPr>
          <w:color w:val="010202"/>
          <w:spacing w:val="-5"/>
        </w:rPr>
        <w:t xml:space="preserve"> </w:t>
      </w:r>
      <w:r>
        <w:rPr>
          <w:color w:val="010202"/>
        </w:rPr>
        <w:t>will</w:t>
      </w:r>
      <w:r>
        <w:rPr>
          <w:color w:val="010202"/>
          <w:spacing w:val="-5"/>
        </w:rPr>
        <w:t xml:space="preserve"> </w:t>
      </w:r>
      <w:r>
        <w:rPr>
          <w:color w:val="010202"/>
        </w:rPr>
        <w:t>generally</w:t>
      </w:r>
      <w:r>
        <w:rPr>
          <w:color w:val="010202"/>
          <w:spacing w:val="-4"/>
        </w:rPr>
        <w:t xml:space="preserve"> </w:t>
      </w:r>
      <w:r>
        <w:rPr>
          <w:color w:val="010202"/>
        </w:rPr>
        <w:t>be</w:t>
      </w:r>
      <w:r>
        <w:rPr>
          <w:color w:val="010202"/>
          <w:spacing w:val="-5"/>
        </w:rPr>
        <w:t xml:space="preserve"> </w:t>
      </w:r>
      <w:r>
        <w:rPr>
          <w:color w:val="010202"/>
        </w:rPr>
        <w:t>treated</w:t>
      </w:r>
      <w:r>
        <w:rPr>
          <w:color w:val="010202"/>
          <w:spacing w:val="-3"/>
        </w:rPr>
        <w:t xml:space="preserve"> </w:t>
      </w:r>
      <w:r>
        <w:rPr>
          <w:color w:val="010202"/>
          <w:spacing w:val="-2"/>
        </w:rPr>
        <w:t>confidentially.</w:t>
      </w:r>
    </w:p>
    <w:p w14:paraId="68AD1ACE" w14:textId="77777777" w:rsidR="004C1D51" w:rsidRDefault="004C1D51" w:rsidP="004C1D51">
      <w:pPr>
        <w:pStyle w:val="BodyText"/>
        <w:spacing w:before="2"/>
        <w:rPr>
          <w:sz w:val="19"/>
        </w:rPr>
      </w:pPr>
    </w:p>
    <w:p w14:paraId="53EA3BE8" w14:textId="77777777" w:rsidR="004C1D51" w:rsidRDefault="004C1D51" w:rsidP="004C1D51">
      <w:pPr>
        <w:pStyle w:val="BodyText"/>
        <w:spacing w:line="290" w:lineRule="auto"/>
        <w:ind w:left="113" w:right="380"/>
      </w:pPr>
      <w:r>
        <w:rPr>
          <w:color w:val="010202"/>
        </w:rPr>
        <w:t>Read</w:t>
      </w:r>
      <w:r>
        <w:rPr>
          <w:color w:val="010202"/>
          <w:spacing w:val="-3"/>
        </w:rPr>
        <w:t xml:space="preserve"> </w:t>
      </w:r>
      <w:r>
        <w:rPr>
          <w:color w:val="010202"/>
        </w:rPr>
        <w:t>our</w:t>
      </w:r>
      <w:r>
        <w:rPr>
          <w:color w:val="010202"/>
          <w:spacing w:val="-3"/>
        </w:rPr>
        <w:t xml:space="preserve"> </w:t>
      </w:r>
      <w:r>
        <w:rPr>
          <w:color w:val="010202"/>
        </w:rPr>
        <w:t>privacy</w:t>
      </w:r>
      <w:r>
        <w:rPr>
          <w:color w:val="010202"/>
          <w:spacing w:val="-3"/>
        </w:rPr>
        <w:t xml:space="preserve"> </w:t>
      </w:r>
      <w:r>
        <w:rPr>
          <w:color w:val="010202"/>
        </w:rPr>
        <w:t>notice</w:t>
      </w:r>
      <w:r>
        <w:rPr>
          <w:color w:val="010202"/>
          <w:spacing w:val="-3"/>
        </w:rPr>
        <w:t xml:space="preserve"> </w:t>
      </w:r>
      <w:r>
        <w:rPr>
          <w:color w:val="010202"/>
        </w:rPr>
        <w:t>for</w:t>
      </w:r>
      <w:r>
        <w:rPr>
          <w:color w:val="010202"/>
          <w:spacing w:val="-2"/>
        </w:rPr>
        <w:t xml:space="preserve"> </w:t>
      </w:r>
      <w:r>
        <w:rPr>
          <w:color w:val="010202"/>
        </w:rPr>
        <w:t>more</w:t>
      </w:r>
      <w:r>
        <w:rPr>
          <w:color w:val="010202"/>
          <w:spacing w:val="-2"/>
        </w:rPr>
        <w:t xml:space="preserve"> </w:t>
      </w:r>
      <w:r>
        <w:rPr>
          <w:color w:val="010202"/>
        </w:rPr>
        <w:t>information</w:t>
      </w:r>
      <w:r>
        <w:rPr>
          <w:color w:val="010202"/>
          <w:spacing w:val="-3"/>
        </w:rPr>
        <w:t xml:space="preserve"> </w:t>
      </w:r>
      <w:r>
        <w:rPr>
          <w:color w:val="010202"/>
        </w:rPr>
        <w:t>about</w:t>
      </w:r>
      <w:r>
        <w:rPr>
          <w:color w:val="010202"/>
          <w:spacing w:val="-3"/>
        </w:rPr>
        <w:t xml:space="preserve"> </w:t>
      </w:r>
      <w:r>
        <w:rPr>
          <w:color w:val="010202"/>
        </w:rPr>
        <w:t>how</w:t>
      </w:r>
      <w:r>
        <w:rPr>
          <w:color w:val="010202"/>
          <w:spacing w:val="-3"/>
        </w:rPr>
        <w:t xml:space="preserve"> </w:t>
      </w:r>
      <w:r>
        <w:rPr>
          <w:color w:val="010202"/>
        </w:rPr>
        <w:t>we</w:t>
      </w:r>
      <w:r>
        <w:rPr>
          <w:color w:val="010202"/>
          <w:spacing w:val="-3"/>
        </w:rPr>
        <w:t xml:space="preserve"> </w:t>
      </w:r>
      <w:r>
        <w:rPr>
          <w:color w:val="010202"/>
        </w:rPr>
        <w:t>use</w:t>
      </w:r>
      <w:r>
        <w:rPr>
          <w:color w:val="010202"/>
          <w:spacing w:val="-3"/>
        </w:rPr>
        <w:t xml:space="preserve"> </w:t>
      </w:r>
      <w:r>
        <w:rPr>
          <w:color w:val="010202"/>
        </w:rPr>
        <w:t>and</w:t>
      </w:r>
      <w:r>
        <w:rPr>
          <w:color w:val="010202"/>
          <w:spacing w:val="-3"/>
        </w:rPr>
        <w:t xml:space="preserve"> </w:t>
      </w:r>
      <w:r>
        <w:rPr>
          <w:color w:val="010202"/>
        </w:rPr>
        <w:t>disclose</w:t>
      </w:r>
      <w:r>
        <w:rPr>
          <w:color w:val="010202"/>
          <w:spacing w:val="-3"/>
        </w:rPr>
        <w:t xml:space="preserve"> </w:t>
      </w:r>
      <w:r>
        <w:rPr>
          <w:color w:val="010202"/>
        </w:rPr>
        <w:t>your</w:t>
      </w:r>
      <w:r>
        <w:rPr>
          <w:color w:val="010202"/>
          <w:spacing w:val="-2"/>
        </w:rPr>
        <w:t xml:space="preserve"> </w:t>
      </w:r>
      <w:r>
        <w:rPr>
          <w:color w:val="010202"/>
        </w:rPr>
        <w:t xml:space="preserve">personal information, at </w:t>
      </w:r>
      <w:hyperlink r:id="rId147" w:history="1">
        <w:r>
          <w:rPr>
            <w:rStyle w:val="Hyperlink"/>
            <w:color w:val="010202"/>
          </w:rPr>
          <w:t>www.qhrc.qld.gov.au/privacy.</w:t>
        </w:r>
      </w:hyperlink>
    </w:p>
    <w:p w14:paraId="5C0922C6" w14:textId="77777777" w:rsidR="004C1D51" w:rsidRDefault="004C1D51" w:rsidP="004C1D51">
      <w:pPr>
        <w:pStyle w:val="BodyText"/>
        <w:spacing w:before="169" w:line="290" w:lineRule="auto"/>
        <w:ind w:left="113" w:right="631"/>
      </w:pPr>
      <w:r>
        <w:rPr>
          <w:color w:val="010202"/>
        </w:rPr>
        <w:t>If</w:t>
      </w:r>
      <w:r>
        <w:rPr>
          <w:color w:val="010202"/>
          <w:spacing w:val="-3"/>
        </w:rPr>
        <w:t xml:space="preserve"> </w:t>
      </w:r>
      <w:r>
        <w:rPr>
          <w:color w:val="010202"/>
        </w:rPr>
        <w:t>you</w:t>
      </w:r>
      <w:r>
        <w:rPr>
          <w:color w:val="010202"/>
          <w:spacing w:val="-3"/>
        </w:rPr>
        <w:t xml:space="preserve"> </w:t>
      </w:r>
      <w:r>
        <w:rPr>
          <w:color w:val="010202"/>
        </w:rPr>
        <w:t>have</w:t>
      </w:r>
      <w:r>
        <w:rPr>
          <w:color w:val="010202"/>
          <w:spacing w:val="-4"/>
        </w:rPr>
        <w:t xml:space="preserve"> </w:t>
      </w:r>
      <w:r>
        <w:rPr>
          <w:color w:val="010202"/>
        </w:rPr>
        <w:t>any</w:t>
      </w:r>
      <w:r>
        <w:rPr>
          <w:color w:val="010202"/>
          <w:spacing w:val="-4"/>
        </w:rPr>
        <w:t xml:space="preserve"> </w:t>
      </w:r>
      <w:r>
        <w:rPr>
          <w:color w:val="010202"/>
        </w:rPr>
        <w:t>concerns</w:t>
      </w:r>
      <w:r>
        <w:rPr>
          <w:color w:val="010202"/>
          <w:spacing w:val="-3"/>
        </w:rPr>
        <w:t xml:space="preserve"> </w:t>
      </w:r>
      <w:r>
        <w:rPr>
          <w:color w:val="010202"/>
        </w:rPr>
        <w:t>about</w:t>
      </w:r>
      <w:r>
        <w:rPr>
          <w:color w:val="010202"/>
          <w:spacing w:val="-4"/>
        </w:rPr>
        <w:t xml:space="preserve"> </w:t>
      </w:r>
      <w:r>
        <w:rPr>
          <w:color w:val="010202"/>
        </w:rPr>
        <w:t>your</w:t>
      </w:r>
      <w:r>
        <w:rPr>
          <w:color w:val="010202"/>
          <w:spacing w:val="-3"/>
        </w:rPr>
        <w:t xml:space="preserve"> </w:t>
      </w:r>
      <w:r>
        <w:rPr>
          <w:color w:val="010202"/>
        </w:rPr>
        <w:t>privacy,</w:t>
      </w:r>
      <w:r>
        <w:rPr>
          <w:color w:val="010202"/>
          <w:spacing w:val="-3"/>
        </w:rPr>
        <w:t xml:space="preserve"> </w:t>
      </w:r>
      <w:r>
        <w:rPr>
          <w:color w:val="010202"/>
        </w:rPr>
        <w:t>talk</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conciliator</w:t>
      </w:r>
      <w:r>
        <w:rPr>
          <w:color w:val="010202"/>
          <w:spacing w:val="-3"/>
        </w:rPr>
        <w:t xml:space="preserve"> </w:t>
      </w:r>
      <w:r>
        <w:rPr>
          <w:color w:val="010202"/>
        </w:rPr>
        <w:t>who</w:t>
      </w:r>
      <w:r>
        <w:rPr>
          <w:color w:val="010202"/>
          <w:spacing w:val="-4"/>
        </w:rPr>
        <w:t xml:space="preserve"> </w:t>
      </w:r>
      <w:r>
        <w:rPr>
          <w:color w:val="010202"/>
        </w:rPr>
        <w:t>is</w:t>
      </w:r>
      <w:r>
        <w:rPr>
          <w:color w:val="010202"/>
          <w:spacing w:val="-4"/>
        </w:rPr>
        <w:t xml:space="preserve"> </w:t>
      </w:r>
      <w:r>
        <w:rPr>
          <w:color w:val="010202"/>
        </w:rPr>
        <w:t>managing</w:t>
      </w:r>
      <w:r>
        <w:rPr>
          <w:color w:val="010202"/>
          <w:spacing w:val="-3"/>
        </w:rPr>
        <w:t xml:space="preserve"> </w:t>
      </w:r>
      <w:r>
        <w:rPr>
          <w:color w:val="010202"/>
        </w:rPr>
        <w:t>your complaint, or call our enquiry line on 1300 130 670.</w:t>
      </w:r>
    </w:p>
    <w:p w14:paraId="515F8841" w14:textId="3C0D8C9C" w:rsidR="004C1D51" w:rsidRDefault="004C1D51">
      <w:pPr>
        <w:rPr>
          <w:rFonts w:cs="Arial"/>
          <w:color w:val="002060"/>
        </w:rPr>
      </w:pPr>
    </w:p>
    <w:p w14:paraId="6ED80BDE" w14:textId="3F59A292" w:rsidR="00233CC0" w:rsidRPr="00233CC0" w:rsidRDefault="00233CC0">
      <w:pPr>
        <w:rPr>
          <w:rFonts w:cs="Arial"/>
          <w:color w:val="002060"/>
        </w:rPr>
      </w:pPr>
      <w:r>
        <w:rPr>
          <w:noProof/>
        </w:rPr>
        <w:drawing>
          <wp:inline distT="0" distB="0" distL="0" distR="0" wp14:anchorId="6C594BE3" wp14:editId="76951015">
            <wp:extent cx="5242124" cy="108284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97456" cy="1094272"/>
                    </a:xfrm>
                    <a:prstGeom prst="rect">
                      <a:avLst/>
                    </a:prstGeom>
                    <a:noFill/>
                    <a:ln>
                      <a:noFill/>
                    </a:ln>
                  </pic:spPr>
                </pic:pic>
              </a:graphicData>
            </a:graphic>
          </wp:inline>
        </w:drawing>
      </w:r>
    </w:p>
    <w:p w14:paraId="52B32D1E" w14:textId="77777777" w:rsidR="00233CC0" w:rsidRPr="00233CC0" w:rsidRDefault="00233CC0" w:rsidP="00233CC0">
      <w:pPr>
        <w:pStyle w:val="Heading1"/>
        <w:shd w:val="clear" w:color="auto" w:fill="FFFFFF"/>
        <w:spacing w:before="0"/>
        <w:rPr>
          <w:rFonts w:ascii="Helvetica" w:hAnsi="Helvetica" w:cs="Helvetica"/>
          <w:b w:val="0"/>
          <w:color w:val="002060"/>
          <w:sz w:val="48"/>
        </w:rPr>
      </w:pPr>
      <w:bookmarkStart w:id="208" w:name="_Toc131144731"/>
      <w:r w:rsidRPr="00233CC0">
        <w:rPr>
          <w:rFonts w:ascii="Helvetica" w:hAnsi="Helvetica" w:cs="Helvetica"/>
          <w:b w:val="0"/>
          <w:bCs/>
          <w:color w:val="002060"/>
        </w:rPr>
        <w:t>Class actions in Australia: An overview</w:t>
      </w:r>
      <w:bookmarkEnd w:id="208"/>
    </w:p>
    <w:p w14:paraId="3ED6C059" w14:textId="77777777" w:rsidR="00233CC0" w:rsidRPr="00233CC0" w:rsidRDefault="00233CC0" w:rsidP="00233CC0">
      <w:pPr>
        <w:shd w:val="clear" w:color="auto" w:fill="FFFFFF"/>
        <w:rPr>
          <w:rFonts w:ascii="Helvetica" w:hAnsi="Helvetica" w:cs="Helvetica"/>
          <w:color w:val="002060"/>
        </w:rPr>
      </w:pPr>
      <w:r w:rsidRPr="00233CC0">
        <w:rPr>
          <w:rStyle w:val="block-article-bannerauthor-date"/>
          <w:rFonts w:ascii="Helvetica" w:hAnsi="Helvetica" w:cs="Helvetica"/>
          <w:color w:val="002060"/>
        </w:rPr>
        <w:t>1 December 2021</w:t>
      </w:r>
    </w:p>
    <w:p w14:paraId="64675832" w14:textId="5B59BA81" w:rsidR="00233CC0" w:rsidRPr="00233CC0" w:rsidRDefault="00000000">
      <w:pPr>
        <w:rPr>
          <w:rFonts w:cs="Arial"/>
          <w:color w:val="002060"/>
        </w:rPr>
      </w:pPr>
      <w:hyperlink r:id="rId149" w:anchor="anchor5" w:history="1">
        <w:r w:rsidR="00233CC0" w:rsidRPr="008C3571">
          <w:rPr>
            <w:rStyle w:val="Hyperlink"/>
            <w:rFonts w:cs="Arial"/>
          </w:rPr>
          <w:t>https://www.allens.com.au/insights-news/insights/2021/11/class-actions-in-australia/#anchor5</w:t>
        </w:r>
      </w:hyperlink>
      <w:r w:rsidR="00233CC0">
        <w:rPr>
          <w:rFonts w:cs="Arial"/>
          <w:color w:val="002060"/>
        </w:rPr>
        <w:t xml:space="preserve"> </w:t>
      </w:r>
    </w:p>
    <w:p w14:paraId="57F402FC" w14:textId="77777777" w:rsidR="00233CC0" w:rsidRDefault="00233CC0" w:rsidP="00233CC0">
      <w:pPr>
        <w:pStyle w:val="Heading2"/>
        <w:shd w:val="clear" w:color="auto" w:fill="FFFFFF"/>
        <w:rPr>
          <w:rFonts w:ascii="Helvetica" w:hAnsi="Helvetica" w:cs="Helvetica"/>
          <w:b w:val="0"/>
          <w:bCs w:val="0"/>
          <w:color w:val="0066CC"/>
          <w:sz w:val="36"/>
        </w:rPr>
      </w:pPr>
      <w:bookmarkStart w:id="209" w:name="_Toc131144732"/>
      <w:r>
        <w:rPr>
          <w:rStyle w:val="layouttitle-text"/>
          <w:rFonts w:ascii="Helvetica" w:hAnsi="Helvetica" w:cs="Helvetica"/>
          <w:b w:val="0"/>
          <w:bCs w:val="0"/>
          <w:color w:val="0066CC"/>
        </w:rPr>
        <w:t>Key issues and trends in Australian class actions</w:t>
      </w:r>
      <w:bookmarkEnd w:id="209"/>
    </w:p>
    <w:p w14:paraId="47235E81" w14:textId="77777777" w:rsidR="00233CC0" w:rsidRDefault="00233CC0" w:rsidP="00233CC0">
      <w:pPr>
        <w:pStyle w:val="large-text"/>
        <w:shd w:val="clear" w:color="auto" w:fill="FFFFFF"/>
        <w:rPr>
          <w:rFonts w:ascii="Helvetica" w:hAnsi="Helvetica" w:cs="Helvetica"/>
          <w:color w:val="445059"/>
        </w:rPr>
      </w:pPr>
      <w:r>
        <w:rPr>
          <w:rFonts w:ascii="Helvetica" w:hAnsi="Helvetica" w:cs="Helvetica"/>
          <w:color w:val="445059"/>
        </w:rPr>
        <w:t>Class actions are an established and important part of the Australian legal landscape. Over the course of the past decade, Australia has become the most likely jurisdiction outside of the United States in which a corporation will face significant class action litigation.</w:t>
      </w:r>
    </w:p>
    <w:p w14:paraId="32ED565A" w14:textId="77777777"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Developments in the Australian legal landscape – including increasingly plaintiff</w:t>
      </w:r>
      <w:r>
        <w:rPr>
          <w:rFonts w:ascii="Helvetica" w:hAnsi="Helvetica" w:cs="Helvetica"/>
          <w:color w:val="445059"/>
        </w:rPr>
        <w:noBreakHyphen/>
        <w:t>friendly class action laws, the acceptance of third party litigation funding, and a growing number of plaintiff class action legal practices – have facilitated that evolution. At least in part, these developments are the direct result of historical support for class actions (and third party funding of class actions) as an important means of facilitating access to the civil justice system. The checks and balances in the Australian system have, however, helped to prevent what was predicted in the mid</w:t>
      </w:r>
      <w:r>
        <w:rPr>
          <w:rFonts w:ascii="Helvetica" w:hAnsi="Helvetica" w:cs="Helvetica"/>
          <w:color w:val="445059"/>
        </w:rPr>
        <w:noBreakHyphen/>
        <w:t>2000s to be an ‘explosion’ of class action activity.</w:t>
      </w:r>
    </w:p>
    <w:p w14:paraId="56168C37" w14:textId="4F96E26D"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We outline below some of the key issues and trends in Australian class actions.</w:t>
      </w:r>
    </w:p>
    <w:p w14:paraId="6A793F8B" w14:textId="4887B06E" w:rsidR="001B0774" w:rsidRDefault="001B0774" w:rsidP="00233CC0">
      <w:pPr>
        <w:pStyle w:val="NormalWeb"/>
        <w:shd w:val="clear" w:color="auto" w:fill="FFFFFF"/>
        <w:rPr>
          <w:rFonts w:ascii="Helvetica" w:hAnsi="Helvetica" w:cs="Helvetica"/>
          <w:color w:val="445059"/>
        </w:rPr>
      </w:pPr>
    </w:p>
    <w:p w14:paraId="18884C3F" w14:textId="77777777" w:rsidR="001B0774" w:rsidRDefault="001B0774" w:rsidP="00233CC0">
      <w:pPr>
        <w:pStyle w:val="NormalWeb"/>
        <w:shd w:val="clear" w:color="auto" w:fill="FFFFFF"/>
        <w:rPr>
          <w:rFonts w:ascii="Helvetica" w:hAnsi="Helvetica" w:cs="Helvetica"/>
          <w:color w:val="445059"/>
        </w:rPr>
      </w:pPr>
    </w:p>
    <w:p w14:paraId="3A0E0BCC" w14:textId="77777777" w:rsidR="00233CC0" w:rsidRDefault="00233CC0" w:rsidP="00233CC0">
      <w:pPr>
        <w:pStyle w:val="Heading2"/>
        <w:shd w:val="clear" w:color="auto" w:fill="E8EEF5"/>
        <w:spacing w:before="0" w:beforeAutospacing="0" w:after="0" w:afterAutospacing="0"/>
        <w:rPr>
          <w:rFonts w:ascii="Helvetica" w:hAnsi="Helvetica" w:cs="Helvetica"/>
          <w:color w:val="445059"/>
        </w:rPr>
      </w:pPr>
      <w:bookmarkStart w:id="210" w:name="_Toc131144733"/>
      <w:r>
        <w:rPr>
          <w:rStyle w:val="block-anchor-listtitle-text"/>
          <w:rFonts w:ascii="Helvetica" w:eastAsiaTheme="majorEastAsia" w:hAnsi="Helvetica" w:cs="Helvetica"/>
          <w:caps/>
          <w:color w:val="445059"/>
        </w:rPr>
        <w:lastRenderedPageBreak/>
        <w:t>JUMP TO</w:t>
      </w:r>
      <w:bookmarkEnd w:id="210"/>
    </w:p>
    <w:p w14:paraId="47E76794"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0" w:anchor="anchor2" w:history="1">
        <w:r w:rsidR="00233CC0">
          <w:rPr>
            <w:rStyle w:val="block-anchor-listlist-itemlink-text"/>
            <w:rFonts w:ascii="Helvetica" w:hAnsi="Helvetica" w:cs="Helvetica"/>
            <w:color w:val="AF005F"/>
            <w:u w:val="single"/>
          </w:rPr>
          <w:t>The Australian class action regime</w:t>
        </w:r>
      </w:hyperlink>
    </w:p>
    <w:p w14:paraId="137D63C6"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1" w:anchor="anchor3" w:history="1">
        <w:r w:rsidR="00233CC0">
          <w:rPr>
            <w:rStyle w:val="block-anchor-listlist-itemlink-text"/>
            <w:rFonts w:ascii="Helvetica" w:hAnsi="Helvetica" w:cs="Helvetica"/>
            <w:color w:val="AF005F"/>
            <w:u w:val="single"/>
          </w:rPr>
          <w:t>How are the class actions regimes in Australia and the United States different?</w:t>
        </w:r>
      </w:hyperlink>
    </w:p>
    <w:p w14:paraId="4C694F96"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2" w:anchor="anchor4" w:history="1">
        <w:r w:rsidR="00233CC0">
          <w:rPr>
            <w:rStyle w:val="block-anchor-listlist-itemlink-text"/>
            <w:rFonts w:ascii="Helvetica" w:hAnsi="Helvetica" w:cs="Helvetica"/>
            <w:color w:val="AF005F"/>
            <w:u w:val="single"/>
          </w:rPr>
          <w:t>Class action activity in Australia</w:t>
        </w:r>
      </w:hyperlink>
    </w:p>
    <w:p w14:paraId="7F1F1138"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3" w:anchor="anchor5" w:history="1">
        <w:r w:rsidR="00233CC0">
          <w:rPr>
            <w:rStyle w:val="block-anchor-listlist-itemlink-text"/>
            <w:rFonts w:ascii="Helvetica" w:hAnsi="Helvetica" w:cs="Helvetica"/>
            <w:color w:val="AF005F"/>
            <w:u w:val="single"/>
          </w:rPr>
          <w:t>Funding of class actions</w:t>
        </w:r>
      </w:hyperlink>
    </w:p>
    <w:p w14:paraId="65E4887A"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4" w:anchor="anchor6" w:history="1">
        <w:r w:rsidR="00233CC0">
          <w:rPr>
            <w:rStyle w:val="block-anchor-listlist-itemlink-text"/>
            <w:rFonts w:ascii="Helvetica" w:hAnsi="Helvetica" w:cs="Helvetica"/>
            <w:color w:val="AF005F"/>
            <w:u w:val="single"/>
          </w:rPr>
          <w:t>Other drivers of class action activity</w:t>
        </w:r>
      </w:hyperlink>
    </w:p>
    <w:p w14:paraId="0B54A955"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5" w:anchor="anchor7" w:history="1">
        <w:r w:rsidR="00233CC0">
          <w:rPr>
            <w:rStyle w:val="block-anchor-listlist-itemlink-text"/>
            <w:rFonts w:ascii="Helvetica" w:hAnsi="Helvetica" w:cs="Helvetica"/>
            <w:color w:val="AF005F"/>
            <w:u w:val="single"/>
          </w:rPr>
          <w:t>Strict liability claims</w:t>
        </w:r>
      </w:hyperlink>
    </w:p>
    <w:p w14:paraId="49F0E2C4" w14:textId="77777777" w:rsidR="00233CC0" w:rsidRDefault="00000000">
      <w:pPr>
        <w:pStyle w:val="block-anchor-listlist-item"/>
        <w:numPr>
          <w:ilvl w:val="0"/>
          <w:numId w:val="54"/>
        </w:numPr>
        <w:shd w:val="clear" w:color="auto" w:fill="F4F8FC"/>
        <w:rPr>
          <w:rFonts w:ascii="Helvetica" w:hAnsi="Helvetica" w:cs="Helvetica"/>
          <w:color w:val="445059"/>
        </w:rPr>
      </w:pPr>
      <w:hyperlink r:id="rId156" w:anchor="anchor8" w:history="1">
        <w:r w:rsidR="00233CC0">
          <w:rPr>
            <w:rStyle w:val="block-anchor-listlist-itemlink-text"/>
            <w:rFonts w:ascii="Helvetica" w:hAnsi="Helvetica" w:cs="Helvetica"/>
            <w:color w:val="AF005F"/>
            <w:u w:val="single"/>
          </w:rPr>
          <w:t>Responding to class action risk in Australia</w:t>
        </w:r>
      </w:hyperlink>
    </w:p>
    <w:p w14:paraId="39385E95" w14:textId="77777777" w:rsidR="00233CC0" w:rsidRDefault="00233CC0" w:rsidP="00233CC0">
      <w:pPr>
        <w:pStyle w:val="Heading4"/>
        <w:shd w:val="clear" w:color="auto" w:fill="FFFFFF"/>
        <w:spacing w:before="360" w:after="120"/>
        <w:rPr>
          <w:rFonts w:ascii="Helvetica" w:hAnsi="Helvetica" w:cs="Helvetica"/>
          <w:b w:val="0"/>
          <w:color w:val="0066CC"/>
        </w:rPr>
      </w:pPr>
      <w:bookmarkStart w:id="211" w:name="_Toc131144734"/>
      <w:r>
        <w:rPr>
          <w:rFonts w:ascii="Helvetica" w:hAnsi="Helvetica" w:cs="Helvetica"/>
          <w:b w:val="0"/>
          <w:bCs/>
          <w:color w:val="0066CC"/>
        </w:rPr>
        <w:t>The Australian class action regime</w:t>
      </w:r>
      <w:bookmarkEnd w:id="211"/>
    </w:p>
    <w:p w14:paraId="42914AC0" w14:textId="77777777" w:rsidR="00233CC0" w:rsidRDefault="00233CC0" w:rsidP="00233CC0">
      <w:pPr>
        <w:pStyle w:val="NormalWeb"/>
        <w:shd w:val="clear" w:color="auto" w:fill="FFFFFF"/>
        <w:spacing w:before="0" w:beforeAutospacing="0"/>
        <w:rPr>
          <w:rFonts w:ascii="Helvetica" w:hAnsi="Helvetica" w:cs="Helvetica"/>
          <w:color w:val="445059"/>
        </w:rPr>
      </w:pPr>
      <w:r>
        <w:rPr>
          <w:rFonts w:ascii="Helvetica" w:hAnsi="Helvetica" w:cs="Helvetica"/>
          <w:color w:val="445059"/>
        </w:rPr>
        <w:t>Most class actions in Australia are commenced under the Federal Court's representative proceeding regime.</w:t>
      </w:r>
      <w:hyperlink r:id="rId157" w:anchor="Footnotes" w:history="1">
        <w:r>
          <w:rPr>
            <w:rStyle w:val="Hyperlink"/>
            <w:rFonts w:ascii="Helvetica" w:hAnsi="Helvetica" w:cs="Helvetica"/>
            <w:color w:val="AF005F"/>
            <w:vertAlign w:val="superscript"/>
          </w:rPr>
          <w:t>1</w:t>
        </w:r>
      </w:hyperlink>
    </w:p>
    <w:p w14:paraId="5AED92AC" w14:textId="77777777"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The key features of that regime include:</w:t>
      </w:r>
    </w:p>
    <w:p w14:paraId="6720B20A"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threshold requirements:</w:t>
      </w:r>
      <w:r>
        <w:rPr>
          <w:rFonts w:ascii="Helvetica" w:hAnsi="Helvetica" w:cs="Helvetica"/>
          <w:color w:val="445059"/>
        </w:rPr>
        <w:t> the following requirements must be met to commence a class action:</w:t>
      </w:r>
    </w:p>
    <w:p w14:paraId="6C5B1680" w14:textId="77777777" w:rsidR="00233CC0" w:rsidRDefault="00233CC0">
      <w:pPr>
        <w:numPr>
          <w:ilvl w:val="1"/>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there must be seven or more persons with claims against the same defendant;</w:t>
      </w:r>
    </w:p>
    <w:p w14:paraId="7D7B29C7" w14:textId="77777777" w:rsidR="00233CC0" w:rsidRDefault="00233CC0">
      <w:pPr>
        <w:numPr>
          <w:ilvl w:val="1"/>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the claims must be in respect of, or arise out of, the same, similar or related circumstances; and</w:t>
      </w:r>
    </w:p>
    <w:p w14:paraId="78FEAC1A" w14:textId="77777777" w:rsidR="00233CC0" w:rsidRDefault="00233CC0">
      <w:pPr>
        <w:numPr>
          <w:ilvl w:val="1"/>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the claims must give rise to at least one substantial common issue of law or fact;</w:t>
      </w:r>
    </w:p>
    <w:p w14:paraId="5D1D688A"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representative plaintiff(s):</w:t>
      </w:r>
      <w:r>
        <w:rPr>
          <w:rFonts w:ascii="Helvetica" w:hAnsi="Helvetica" w:cs="Helvetica"/>
          <w:color w:val="445059"/>
        </w:rPr>
        <w:t> the claim is brought on behalf of all class members by one (or a small number of) representative plaintiff(s) – the representatives are the only class members to be parties to the proceedings;</w:t>
      </w:r>
    </w:p>
    <w:p w14:paraId="4C406327"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Fonts w:ascii="Helvetica" w:hAnsi="Helvetica" w:cs="Helvetica"/>
          <w:color w:val="445059"/>
        </w:rPr>
        <w:t>class definition: the class can be defined by a list of names or by a set of criteria (such as all persons who acquired shares in Company XYZ during a certain period) – it is not necessary to name members of the class, or to specify the number of people in the class or the total value of their claims;</w:t>
      </w:r>
    </w:p>
    <w:p w14:paraId="51B3AE7D" w14:textId="4385F381" w:rsidR="003C40FD" w:rsidRPr="003C40FD" w:rsidRDefault="00233CC0" w:rsidP="003C40FD">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opt</w:t>
      </w:r>
      <w:r>
        <w:rPr>
          <w:rStyle w:val="Strong"/>
          <w:rFonts w:ascii="Helvetica" w:hAnsi="Helvetica" w:cs="Helvetica"/>
          <w:color w:val="445059"/>
        </w:rPr>
        <w:noBreakHyphen/>
        <w:t>out regime:</w:t>
      </w:r>
      <w:r>
        <w:rPr>
          <w:rFonts w:ascii="Helvetica" w:hAnsi="Helvetica" w:cs="Helvetica"/>
          <w:color w:val="445059"/>
        </w:rPr>
        <w:t> every potential claimant who falls within the class definition is a member of the class unless they opt out of the A class may, however, be defined in a way that effectively requires members to opt in to the class (including by entering into a retainer with a particular law firm or an arrangement with a particular third party funder);</w:t>
      </w:r>
    </w:p>
    <w:p w14:paraId="7D8F1062" w14:textId="77777777" w:rsidR="00233CC0" w:rsidRDefault="00233CC0">
      <w:pPr>
        <w:numPr>
          <w:ilvl w:val="0"/>
          <w:numId w:val="55"/>
        </w:numPr>
        <w:shd w:val="clear" w:color="auto" w:fill="FFFFFF"/>
        <w:spacing w:before="100" w:beforeAutospacing="1" w:after="100" w:afterAutospacing="1" w:line="240" w:lineRule="auto"/>
        <w:rPr>
          <w:rFonts w:ascii="Helvetica" w:hAnsi="Helvetica" w:cs="Helvetica"/>
          <w:color w:val="445059"/>
        </w:rPr>
      </w:pPr>
      <w:r>
        <w:rPr>
          <w:rStyle w:val="Strong"/>
          <w:rFonts w:ascii="Helvetica" w:hAnsi="Helvetica" w:cs="Helvetica"/>
          <w:color w:val="445059"/>
        </w:rPr>
        <w:t>settlement approval:</w:t>
      </w:r>
      <w:r>
        <w:rPr>
          <w:rFonts w:ascii="Helvetica" w:hAnsi="Helvetica" w:cs="Helvetica"/>
          <w:color w:val="445059"/>
        </w:rPr>
        <w:t> once proceedings are commenced, any settlement must be approved by the court – this requires the court to be satisfied that the settlement is fair and reasonable, and in the interest of class</w:t>
      </w:r>
    </w:p>
    <w:p w14:paraId="357A2672" w14:textId="77777777" w:rsidR="00233CC0" w:rsidRDefault="00233CC0" w:rsidP="00233CC0">
      <w:pPr>
        <w:pStyle w:val="Heading4"/>
        <w:shd w:val="clear" w:color="auto" w:fill="FFFFFF"/>
        <w:spacing w:before="360" w:after="120"/>
        <w:rPr>
          <w:rFonts w:ascii="Helvetica" w:hAnsi="Helvetica" w:cs="Helvetica"/>
          <w:b w:val="0"/>
          <w:color w:val="0066CC"/>
        </w:rPr>
      </w:pPr>
      <w:bookmarkStart w:id="212" w:name="_Toc131144735"/>
      <w:r>
        <w:rPr>
          <w:rFonts w:ascii="Helvetica" w:hAnsi="Helvetica" w:cs="Helvetica"/>
          <w:b w:val="0"/>
          <w:bCs/>
          <w:color w:val="0066CC"/>
        </w:rPr>
        <w:t>How are the class actions regimes in Australia and the United States different?</w:t>
      </w:r>
      <w:bookmarkEnd w:id="212"/>
    </w:p>
    <w:p w14:paraId="2A21C2A6" w14:textId="3FE1D006" w:rsidR="00233CC0" w:rsidRDefault="00233CC0" w:rsidP="00233CC0">
      <w:pPr>
        <w:pStyle w:val="NormalWeb"/>
        <w:shd w:val="clear" w:color="auto" w:fill="FFFFFF"/>
        <w:spacing w:before="0" w:beforeAutospacing="0"/>
        <w:rPr>
          <w:rFonts w:ascii="Helvetica" w:hAnsi="Helvetica" w:cs="Helvetica"/>
          <w:color w:val="445059"/>
        </w:rPr>
      </w:pPr>
      <w:r>
        <w:rPr>
          <w:rFonts w:ascii="Helvetica" w:hAnsi="Helvetica" w:cs="Helvetica"/>
          <w:color w:val="445059"/>
        </w:rPr>
        <w:t>Class actions in Australia are different from class actions in the United States in (at least) the significant ways outlined in the table below:</w:t>
      </w:r>
    </w:p>
    <w:p w14:paraId="54F6466D" w14:textId="04DB6346" w:rsidR="001B0774" w:rsidRDefault="001B0774" w:rsidP="00233CC0">
      <w:pPr>
        <w:pStyle w:val="NormalWeb"/>
        <w:shd w:val="clear" w:color="auto" w:fill="FFFFFF"/>
        <w:spacing w:before="0" w:beforeAutospacing="0"/>
        <w:rPr>
          <w:rFonts w:ascii="Helvetica" w:hAnsi="Helvetica" w:cs="Helvetica"/>
          <w:color w:val="445059"/>
        </w:rPr>
      </w:pPr>
    </w:p>
    <w:p w14:paraId="6F7C2BE0" w14:textId="77777777" w:rsidR="003C40FD" w:rsidRDefault="003C40FD" w:rsidP="00233CC0">
      <w:pPr>
        <w:pStyle w:val="NormalWeb"/>
        <w:shd w:val="clear" w:color="auto" w:fill="FFFFFF"/>
        <w:spacing w:before="0" w:beforeAutospacing="0"/>
        <w:rPr>
          <w:rFonts w:ascii="Helvetica" w:hAnsi="Helvetica" w:cs="Helvetica"/>
          <w:color w:val="445059"/>
        </w:rPr>
      </w:pPr>
    </w:p>
    <w:tbl>
      <w:tblPr>
        <w:tblW w:w="8671" w:type="dxa"/>
        <w:shd w:val="clear" w:color="auto" w:fill="FFFFFF"/>
        <w:tblCellMar>
          <w:top w:w="15" w:type="dxa"/>
          <w:left w:w="15" w:type="dxa"/>
          <w:bottom w:w="15" w:type="dxa"/>
          <w:right w:w="15" w:type="dxa"/>
        </w:tblCellMar>
        <w:tblLook w:val="04A0" w:firstRow="1" w:lastRow="0" w:firstColumn="1" w:lastColumn="0" w:noHBand="0" w:noVBand="1"/>
      </w:tblPr>
      <w:tblGrid>
        <w:gridCol w:w="8671"/>
      </w:tblGrid>
      <w:tr w:rsidR="00233CC0" w14:paraId="4F57EA09"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6C352EF9" w14:textId="77777777" w:rsidR="00233CC0" w:rsidRDefault="00233CC0">
            <w:pPr>
              <w:rPr>
                <w:rFonts w:ascii="Helvetica" w:hAnsi="Helvetica" w:cs="Helvetica"/>
                <w:b/>
                <w:bCs/>
                <w:caps/>
                <w:color w:val="FFFFFF"/>
              </w:rPr>
            </w:pPr>
            <w:r>
              <w:rPr>
                <w:rFonts w:ascii="Helvetica" w:hAnsi="Helvetica" w:cs="Helvetica"/>
                <w:b/>
                <w:bCs/>
                <w:caps/>
                <w:color w:val="FFFFFF"/>
              </w:rPr>
              <w:lastRenderedPageBreak/>
              <w:t>CLASS CERTIFICATION</w:t>
            </w:r>
          </w:p>
        </w:tc>
      </w:tr>
      <w:tr w:rsidR="00233CC0" w14:paraId="13CB2156" w14:textId="77777777" w:rsidTr="003C40FD">
        <w:trPr>
          <w:trHeight w:val="1094"/>
        </w:trPr>
        <w:tc>
          <w:tcPr>
            <w:tcW w:w="0" w:type="auto"/>
            <w:tcBorders>
              <w:top w:val="nil"/>
              <w:left w:val="single" w:sz="6" w:space="0" w:color="D8E2EF"/>
              <w:bottom w:val="single" w:sz="6" w:space="0" w:color="D8E2EF"/>
              <w:right w:val="single" w:sz="6" w:space="0" w:color="D8E2EF"/>
            </w:tcBorders>
            <w:shd w:val="clear" w:color="auto" w:fill="F4F8FC"/>
            <w:hideMark/>
          </w:tcPr>
          <w:p w14:paraId="7ABA448A"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The lead plaintiff bears the onus of satisfying the court that the case satisfies the threshold requirements for proceeding as a class action.</w:t>
            </w:r>
          </w:p>
          <w:p w14:paraId="56E46A34"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The onus is on the defendant to establish that the threshold requirements referred to above have not been met.</w:t>
            </w:r>
          </w:p>
        </w:tc>
      </w:tr>
      <w:tr w:rsidR="00233CC0" w14:paraId="64A53C92"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72CAAEEA" w14:textId="77777777" w:rsidR="00233CC0" w:rsidRDefault="00233CC0">
            <w:pPr>
              <w:rPr>
                <w:rFonts w:ascii="Helvetica" w:hAnsi="Helvetica" w:cs="Helvetica"/>
                <w:b/>
                <w:bCs/>
                <w:caps/>
                <w:color w:val="FFFFFF"/>
              </w:rPr>
            </w:pPr>
            <w:r>
              <w:rPr>
                <w:rFonts w:ascii="Helvetica" w:hAnsi="Helvetica" w:cs="Helvetica"/>
                <w:b/>
                <w:bCs/>
                <w:caps/>
                <w:color w:val="FFFFFF"/>
              </w:rPr>
              <w:t>COMMON ISSUES</w:t>
            </w:r>
          </w:p>
        </w:tc>
      </w:tr>
      <w:tr w:rsidR="00233CC0" w14:paraId="407DBCC1" w14:textId="77777777" w:rsidTr="003C40FD">
        <w:trPr>
          <w:trHeight w:val="664"/>
        </w:trPr>
        <w:tc>
          <w:tcPr>
            <w:tcW w:w="0" w:type="auto"/>
            <w:tcBorders>
              <w:top w:val="nil"/>
              <w:left w:val="single" w:sz="6" w:space="0" w:color="D8E2EF"/>
              <w:bottom w:val="single" w:sz="6" w:space="0" w:color="D8E2EF"/>
              <w:right w:val="single" w:sz="6" w:space="0" w:color="D8E2EF"/>
            </w:tcBorders>
            <w:shd w:val="clear" w:color="auto" w:fill="F4F8FC"/>
            <w:hideMark/>
          </w:tcPr>
          <w:p w14:paraId="321186BB"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Common issues must predominate over individual issues.</w:t>
            </w:r>
          </w:p>
          <w:p w14:paraId="656A77AB"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There need only be one substantial common issue of law or fact.</w:t>
            </w:r>
          </w:p>
        </w:tc>
      </w:tr>
      <w:tr w:rsidR="00233CC0" w14:paraId="654644A6"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32BF0597" w14:textId="77777777" w:rsidR="00233CC0" w:rsidRDefault="00233CC0">
            <w:pPr>
              <w:rPr>
                <w:rFonts w:ascii="Helvetica" w:hAnsi="Helvetica" w:cs="Helvetica"/>
                <w:b/>
                <w:bCs/>
                <w:caps/>
                <w:color w:val="FFFFFF"/>
              </w:rPr>
            </w:pPr>
            <w:r>
              <w:rPr>
                <w:rFonts w:ascii="Helvetica" w:hAnsi="Helvetica" w:cs="Helvetica"/>
                <w:b/>
                <w:bCs/>
                <w:caps/>
                <w:color w:val="FFFFFF"/>
              </w:rPr>
              <w:t>COSTS</w:t>
            </w:r>
          </w:p>
        </w:tc>
      </w:tr>
      <w:tr w:rsidR="00233CC0" w14:paraId="41605304" w14:textId="77777777" w:rsidTr="003C40FD">
        <w:trPr>
          <w:trHeight w:val="868"/>
        </w:trPr>
        <w:tc>
          <w:tcPr>
            <w:tcW w:w="0" w:type="auto"/>
            <w:tcBorders>
              <w:top w:val="nil"/>
              <w:left w:val="single" w:sz="6" w:space="0" w:color="D8E2EF"/>
              <w:bottom w:val="single" w:sz="6" w:space="0" w:color="D8E2EF"/>
              <w:right w:val="single" w:sz="6" w:space="0" w:color="D8E2EF"/>
            </w:tcBorders>
            <w:shd w:val="clear" w:color="auto" w:fill="F4F8FC"/>
            <w:hideMark/>
          </w:tcPr>
          <w:p w14:paraId="53C4897E"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Each party bears their own costs irrespective of the outcome.</w:t>
            </w:r>
          </w:p>
          <w:p w14:paraId="35DB83E9"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The unsuccessful party will generally be ordered to pay the successful party’s costs on a party/party basis.</w:t>
            </w:r>
          </w:p>
        </w:tc>
      </w:tr>
      <w:tr w:rsidR="00233CC0" w14:paraId="4E762F96" w14:textId="77777777" w:rsidTr="003C40FD">
        <w:trPr>
          <w:trHeight w:val="364"/>
        </w:trPr>
        <w:tc>
          <w:tcPr>
            <w:tcW w:w="0" w:type="auto"/>
            <w:tcBorders>
              <w:top w:val="outset" w:sz="6" w:space="0" w:color="auto"/>
              <w:left w:val="outset" w:sz="6" w:space="0" w:color="auto"/>
              <w:bottom w:val="nil"/>
              <w:right w:val="outset" w:sz="6" w:space="0" w:color="auto"/>
            </w:tcBorders>
            <w:shd w:val="clear" w:color="auto" w:fill="4A5B68"/>
            <w:vAlign w:val="center"/>
            <w:hideMark/>
          </w:tcPr>
          <w:p w14:paraId="275DA456" w14:textId="77777777" w:rsidR="00233CC0" w:rsidRDefault="00233CC0">
            <w:pPr>
              <w:rPr>
                <w:rFonts w:ascii="Helvetica" w:hAnsi="Helvetica" w:cs="Helvetica"/>
                <w:b/>
                <w:bCs/>
                <w:caps/>
                <w:color w:val="FFFFFF"/>
              </w:rPr>
            </w:pPr>
            <w:r>
              <w:rPr>
                <w:rFonts w:ascii="Helvetica" w:hAnsi="Helvetica" w:cs="Helvetica"/>
                <w:b/>
                <w:bCs/>
                <w:caps/>
                <w:color w:val="FFFFFF"/>
              </w:rPr>
              <w:t>CONTINGENCY FEES</w:t>
            </w:r>
          </w:p>
        </w:tc>
      </w:tr>
      <w:tr w:rsidR="00233CC0" w14:paraId="5BE42E5F" w14:textId="77777777" w:rsidTr="003C40FD">
        <w:trPr>
          <w:trHeight w:val="879"/>
        </w:trPr>
        <w:tc>
          <w:tcPr>
            <w:tcW w:w="0" w:type="auto"/>
            <w:tcBorders>
              <w:top w:val="nil"/>
              <w:left w:val="single" w:sz="6" w:space="0" w:color="D8E2EF"/>
              <w:bottom w:val="single" w:sz="6" w:space="0" w:color="D8E2EF"/>
              <w:right w:val="single" w:sz="6" w:space="0" w:color="D8E2EF"/>
            </w:tcBorders>
            <w:shd w:val="clear" w:color="auto" w:fill="F4F8FC"/>
            <w:hideMark/>
          </w:tcPr>
          <w:p w14:paraId="270C7E1C" w14:textId="77777777" w:rsidR="00233CC0" w:rsidRDefault="00233CC0">
            <w:pPr>
              <w:pStyle w:val="NormalWeb"/>
              <w:spacing w:before="0" w:beforeAutospacing="0"/>
              <w:rPr>
                <w:rFonts w:ascii="Helvetica" w:hAnsi="Helvetica" w:cs="Helvetica"/>
                <w:color w:val="445059"/>
              </w:rPr>
            </w:pPr>
            <w:r>
              <w:rPr>
                <w:rStyle w:val="Strong"/>
                <w:rFonts w:ascii="Helvetica" w:hAnsi="Helvetica" w:cs="Helvetica"/>
                <w:color w:val="AF005F"/>
              </w:rPr>
              <w:t>United States: </w:t>
            </w:r>
            <w:r>
              <w:rPr>
                <w:rFonts w:ascii="Helvetica" w:hAnsi="Helvetica" w:cs="Helvetica"/>
                <w:color w:val="445059"/>
              </w:rPr>
              <w:t>Lawyers are permitted to charge based on a percentage of any amount recovered.</w:t>
            </w:r>
          </w:p>
          <w:p w14:paraId="254ED23D" w14:textId="77777777" w:rsidR="00233CC0" w:rsidRDefault="00233CC0">
            <w:pPr>
              <w:pStyle w:val="NormalWeb"/>
              <w:spacing w:before="0"/>
              <w:rPr>
                <w:rFonts w:ascii="Helvetica" w:hAnsi="Helvetica" w:cs="Helvetica"/>
                <w:color w:val="445059"/>
              </w:rPr>
            </w:pPr>
            <w:r>
              <w:rPr>
                <w:rStyle w:val="Strong"/>
                <w:rFonts w:ascii="Helvetica" w:hAnsi="Helvetica" w:cs="Helvetica"/>
                <w:color w:val="AF005F"/>
              </w:rPr>
              <w:t>Australia: </w:t>
            </w:r>
            <w:r>
              <w:rPr>
                <w:rFonts w:ascii="Helvetica" w:hAnsi="Helvetica" w:cs="Helvetica"/>
                <w:color w:val="445059"/>
              </w:rPr>
              <w:t>Contingency fee structures are generally prohibited for lawyers (but not for third party funders) in all jurisdictions except the Supreme Court of Victoria.</w:t>
            </w:r>
          </w:p>
        </w:tc>
      </w:tr>
    </w:tbl>
    <w:p w14:paraId="5BD3E5E6" w14:textId="77777777" w:rsidR="00233CC0" w:rsidRDefault="00233CC0" w:rsidP="00233CC0">
      <w:pPr>
        <w:pStyle w:val="NormalWeb"/>
        <w:shd w:val="clear" w:color="auto" w:fill="FFFFFF"/>
        <w:rPr>
          <w:rFonts w:ascii="Helvetica" w:hAnsi="Helvetica" w:cs="Helvetica"/>
          <w:color w:val="445059"/>
        </w:rPr>
      </w:pPr>
      <w:r>
        <w:rPr>
          <w:rFonts w:ascii="Helvetica" w:hAnsi="Helvetica" w:cs="Helvetica"/>
          <w:color w:val="445059"/>
        </w:rPr>
        <w:t>The absence of a class certification process and the low common issues threshold make it easier to commence and maintain a class action in Australia than in the United States. As a result, the Australian class action regime has been described as ‘one of the most liberal class action rules in the entire world’.</w:t>
      </w:r>
      <w:hyperlink r:id="rId158" w:anchor="Footnotes" w:history="1">
        <w:r>
          <w:rPr>
            <w:rStyle w:val="Hyperlink"/>
            <w:rFonts w:ascii="Helvetica" w:hAnsi="Helvetica" w:cs="Helvetica"/>
            <w:color w:val="AF005F"/>
            <w:vertAlign w:val="superscript"/>
          </w:rPr>
          <w:t>2</w:t>
        </w:r>
      </w:hyperlink>
      <w:r>
        <w:rPr>
          <w:rFonts w:ascii="Helvetica" w:hAnsi="Helvetica" w:cs="Helvetica"/>
          <w:color w:val="445059"/>
        </w:rPr>
        <w:t> The Australian position as to costs is, however, generally acknowledged as being a significant deterrent to speculative litigation.</w:t>
      </w:r>
    </w:p>
    <w:p w14:paraId="320B908C" w14:textId="47E5BEA0" w:rsidR="007D0CC2" w:rsidRDefault="007D0CC2">
      <w:pPr>
        <w:rPr>
          <w:rFonts w:cs="Arial"/>
        </w:rPr>
      </w:pPr>
    </w:p>
    <w:p w14:paraId="53CED88A" w14:textId="07817222" w:rsidR="0060457B" w:rsidRDefault="0060457B">
      <w:pPr>
        <w:rPr>
          <w:rFonts w:cs="Arial"/>
        </w:rPr>
      </w:pPr>
      <w:r w:rsidRPr="0060457B">
        <w:rPr>
          <w:rFonts w:cs="Arial"/>
          <w:noProof/>
        </w:rPr>
        <w:drawing>
          <wp:inline distT="0" distB="0" distL="0" distR="0" wp14:anchorId="0C04329C" wp14:editId="18163D40">
            <wp:extent cx="3305636" cy="638264"/>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305636" cy="638264"/>
                    </a:xfrm>
                    <a:prstGeom prst="rect">
                      <a:avLst/>
                    </a:prstGeom>
                  </pic:spPr>
                </pic:pic>
              </a:graphicData>
            </a:graphic>
          </wp:inline>
        </w:drawing>
      </w:r>
    </w:p>
    <w:p w14:paraId="327455E7"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13" w:name="_Toc131144736"/>
      <w:r>
        <w:rPr>
          <w:rFonts w:ascii="inherit" w:hAnsi="inherit" w:cs="Open Sans"/>
          <w:b w:val="0"/>
          <w:bCs w:val="0"/>
          <w:color w:val="000000"/>
          <w:sz w:val="39"/>
          <w:szCs w:val="39"/>
        </w:rPr>
        <w:t>Initiating Proceedings</w:t>
      </w:r>
      <w:bookmarkEnd w:id="213"/>
    </w:p>
    <w:p w14:paraId="341045CD"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14" w:name="_Toc131144737"/>
      <w:r>
        <w:rPr>
          <w:rFonts w:ascii="Open Sans" w:hAnsi="Open Sans" w:cs="Open Sans"/>
          <w:color w:val="000000"/>
          <w:sz w:val="21"/>
          <w:szCs w:val="21"/>
        </w:rPr>
        <w:t>Who can bring a class action?</w:t>
      </w:r>
      <w:bookmarkEnd w:id="214"/>
    </w:p>
    <w:p w14:paraId="6F529CDE"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Anyone with sufficient interest to commence a proceeding on his or her own behalf against a particular defendant or defendants can commence proceedings on behalf of a class. In addition, there are federal legislative provisions that allow the Australian competition regulator, the Australian Competition and Consumer Commission (ACCC), to pursue private enforcement (including by way of class actions) on behalf of persons who have suffered, or are likely to suffer, loss or damage by reason of conduct that contravenes those federal provisions.</w:t>
      </w:r>
    </w:p>
    <w:p w14:paraId="4F58D0DB"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15" w:name="_Toc131144738"/>
      <w:r>
        <w:rPr>
          <w:rFonts w:ascii="Open Sans" w:hAnsi="Open Sans" w:cs="Open Sans"/>
          <w:color w:val="000000"/>
          <w:sz w:val="21"/>
          <w:szCs w:val="21"/>
        </w:rPr>
        <w:lastRenderedPageBreak/>
        <w:t>In which courts may class actions be brought?</w:t>
      </w:r>
      <w:bookmarkEnd w:id="215"/>
    </w:p>
    <w:p w14:paraId="1D514417"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Federal Court of Australia (since 1992)</w:t>
      </w:r>
    </w:p>
    <w:p w14:paraId="51ADFAB9"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Victoria (since 2000)</w:t>
      </w:r>
    </w:p>
    <w:p w14:paraId="1A787948"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New South Wales (since 2011)</w:t>
      </w:r>
    </w:p>
    <w:p w14:paraId="1AD16C1E"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Queensland (since 2016)</w:t>
      </w:r>
    </w:p>
    <w:p w14:paraId="6F2D6DC6" w14:textId="77777777" w:rsidR="00233CC0" w:rsidRDefault="00233CC0">
      <w:pPr>
        <w:numPr>
          <w:ilvl w:val="0"/>
          <w:numId w:val="56"/>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Supreme Court of Tasmania (since 2019)</w:t>
      </w:r>
    </w:p>
    <w:p w14:paraId="3CD92B9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Whilst each of the state regimes are modelled on the federal regime, there are subtle differences between each jurisdiction.</w:t>
      </w:r>
    </w:p>
    <w:p w14:paraId="7269C745"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16" w:name="_Toc131144739"/>
      <w:r>
        <w:rPr>
          <w:rFonts w:ascii="Open Sans" w:hAnsi="Open Sans" w:cs="Open Sans"/>
          <w:color w:val="000000"/>
          <w:sz w:val="21"/>
          <w:szCs w:val="21"/>
        </w:rPr>
        <w:t>How is a class action initiated?</w:t>
      </w:r>
      <w:bookmarkEnd w:id="216"/>
    </w:p>
    <w:p w14:paraId="5F0EA19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class action is commenced by the representative plaintiff or representative plaintiffs filing an originating process in court. The originating process must:</w:t>
      </w:r>
    </w:p>
    <w:p w14:paraId="4F5A240D" w14:textId="77777777" w:rsidR="00233CC0" w:rsidRDefault="00233CC0">
      <w:pPr>
        <w:numPr>
          <w:ilvl w:val="0"/>
          <w:numId w:val="57"/>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describe or otherwise identify the group members to whom the proceeding relates; and</w:t>
      </w:r>
    </w:p>
    <w:p w14:paraId="5025ECC6" w14:textId="77777777" w:rsidR="00233CC0" w:rsidRDefault="00233CC0">
      <w:pPr>
        <w:numPr>
          <w:ilvl w:val="0"/>
          <w:numId w:val="57"/>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specify the nature of the claims made on behalf of the group members and the relief sought; and</w:t>
      </w:r>
    </w:p>
    <w:p w14:paraId="59F950E7" w14:textId="77777777" w:rsidR="00233CC0" w:rsidRDefault="00233CC0">
      <w:pPr>
        <w:numPr>
          <w:ilvl w:val="0"/>
          <w:numId w:val="57"/>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specify the questions of law or fact common to the claims of the group members.</w:t>
      </w:r>
    </w:p>
    <w:p w14:paraId="4CA19A1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While the claimants must describe the group in the originating process, there is no obligation to identify, name or even specify the number of group members.</w:t>
      </w:r>
    </w:p>
    <w:p w14:paraId="6EA22F76"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17" w:name="_Toc131144740"/>
      <w:r>
        <w:rPr>
          <w:rFonts w:ascii="Open Sans" w:hAnsi="Open Sans" w:cs="Open Sans"/>
          <w:color w:val="000000"/>
          <w:sz w:val="21"/>
          <w:szCs w:val="21"/>
        </w:rPr>
        <w:t>Are there certification requirements? What are the threshold criteria?</w:t>
      </w:r>
      <w:bookmarkEnd w:id="217"/>
    </w:p>
    <w:p w14:paraId="5F03B56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There is no requirement that the proceedings be judicially certified as appropriate to be brought as a class action, however, before a class action can be commenced, three threshold criteria must be met:</w:t>
      </w:r>
    </w:p>
    <w:p w14:paraId="2C533438" w14:textId="77777777" w:rsidR="00233CC0" w:rsidRDefault="00233CC0">
      <w:pPr>
        <w:numPr>
          <w:ilvl w:val="0"/>
          <w:numId w:val="58"/>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7 or more persons have claims against the same person or persons;</w:t>
      </w:r>
    </w:p>
    <w:p w14:paraId="0F070F3B" w14:textId="77777777" w:rsidR="00233CC0" w:rsidRDefault="00233CC0">
      <w:pPr>
        <w:numPr>
          <w:ilvl w:val="0"/>
          <w:numId w:val="58"/>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the claims of those persons are in respect of, or arise out of, the same, similar, or related circumstances; and</w:t>
      </w:r>
    </w:p>
    <w:p w14:paraId="1CDFF778" w14:textId="77777777" w:rsidR="00233CC0" w:rsidRDefault="00233CC0">
      <w:pPr>
        <w:numPr>
          <w:ilvl w:val="0"/>
          <w:numId w:val="58"/>
        </w:numPr>
        <w:shd w:val="clear" w:color="auto" w:fill="FFFFFF"/>
        <w:spacing w:after="120" w:line="240" w:lineRule="auto"/>
        <w:ind w:left="840"/>
        <w:rPr>
          <w:rFonts w:ascii="Open Sans" w:hAnsi="Open Sans" w:cs="Open Sans"/>
          <w:color w:val="000000"/>
          <w:sz w:val="21"/>
          <w:szCs w:val="21"/>
        </w:rPr>
      </w:pPr>
      <w:r>
        <w:rPr>
          <w:rFonts w:ascii="Open Sans" w:hAnsi="Open Sans" w:cs="Open Sans"/>
          <w:color w:val="000000"/>
          <w:sz w:val="21"/>
          <w:szCs w:val="21"/>
        </w:rPr>
        <w:t>all claims of those persons give rise to a substantial common issue of fact or law.</w:t>
      </w:r>
    </w:p>
    <w:p w14:paraId="57257070"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There is an assumption that the claim is validly brought unless the respondent brings an action seeking to strike out the claim for failure to meet the threshold requirements.</w:t>
      </w:r>
    </w:p>
    <w:p w14:paraId="52575B38"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18" w:name="_Toc131144741"/>
      <w:r>
        <w:rPr>
          <w:rFonts w:ascii="Open Sans" w:hAnsi="Open Sans" w:cs="Open Sans"/>
          <w:color w:val="000000"/>
          <w:sz w:val="21"/>
          <w:szCs w:val="21"/>
        </w:rPr>
        <w:t>What is the limitation period for bringing a class action? Can it be paused?</w:t>
      </w:r>
      <w:bookmarkEnd w:id="218"/>
    </w:p>
    <w:p w14:paraId="21F2FF30" w14:textId="4311818B"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Limitation periods (that is, the maximum period of time which can elapse from the time of a cause of action arises until the commencement of court proceedings relating to that cause of action) exist but vary considerably depending on the cause of action. When a class action is commenced, the running of any limitation period is suspended and does not begin to run again until either the group member opts out of the proceedings or the proceedings are finally determined.</w:t>
      </w:r>
    </w:p>
    <w:p w14:paraId="0234A7D6"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19" w:name="_Toc131144742"/>
      <w:r>
        <w:rPr>
          <w:rFonts w:ascii="inherit" w:hAnsi="inherit" w:cs="Open Sans"/>
          <w:b w:val="0"/>
          <w:bCs w:val="0"/>
          <w:color w:val="000000"/>
          <w:sz w:val="39"/>
          <w:szCs w:val="39"/>
        </w:rPr>
        <w:lastRenderedPageBreak/>
        <w:t>The Class</w:t>
      </w:r>
      <w:bookmarkEnd w:id="219"/>
    </w:p>
    <w:p w14:paraId="39177696"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20" w:name="_Toc131144743"/>
      <w:r>
        <w:rPr>
          <w:rFonts w:ascii="Open Sans" w:hAnsi="Open Sans" w:cs="Open Sans"/>
          <w:color w:val="000000"/>
          <w:sz w:val="21"/>
          <w:szCs w:val="21"/>
        </w:rPr>
        <w:t>Class membership</w:t>
      </w:r>
      <w:bookmarkEnd w:id="220"/>
    </w:p>
    <w:p w14:paraId="542D3B06"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class action can have as many group members as satisfy the group definition and elect not to opt out. A group member definition may be drafted broadly in order to encompass a larger number of individuals (for instance by incorporating multiple models of a product manufactured by the same company). Where this occurs, it is common for there to be additional representative plaintiffs appointed for each "sub-group" within the class, in order to deal with issues which arise in relation to some, but not all group members.</w:t>
      </w:r>
    </w:p>
    <w:p w14:paraId="663E408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Because group members are not parties to the litigation and it is only the representative party who needs to prove his or her case, group members do not have to take any action or play an active role in order to be part of the class, at least until a judgement or settlement occurs.</w:t>
      </w:r>
    </w:p>
    <w:p w14:paraId="7D3F4639"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1" w:name="_Toc131144744"/>
      <w:r>
        <w:rPr>
          <w:rFonts w:ascii="Open Sans" w:hAnsi="Open Sans" w:cs="Open Sans"/>
          <w:color w:val="000000"/>
          <w:sz w:val="21"/>
          <w:szCs w:val="21"/>
        </w:rPr>
        <w:t>Notice requirements</w:t>
      </w:r>
      <w:bookmarkEnd w:id="221"/>
    </w:p>
    <w:p w14:paraId="7F75F336"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Though group members are not required to take an active role, Australian law requires group members to be notified of various matters so that group members can make informed decisions concerning their rights. These include: the existence of proceedings (and their right to "opt out"), where the representative plaintiff withdraws (to be replaced by another representative), where an application for dismissal of the proceedings for want of prosecution is made, or where the parties propose to settle the proceedings. There are specific requirements for the form of notices given to group members. The content and manner of distribution will depend on the individual circumstances of the case.</w:t>
      </w:r>
    </w:p>
    <w:p w14:paraId="6B005E38"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2" w:name="_Toc131144745"/>
      <w:proofErr w:type="spellStart"/>
      <w:r>
        <w:rPr>
          <w:rFonts w:ascii="Open Sans" w:hAnsi="Open Sans" w:cs="Open Sans"/>
          <w:color w:val="000000"/>
          <w:sz w:val="21"/>
          <w:szCs w:val="21"/>
        </w:rPr>
        <w:t>Opt</w:t>
      </w:r>
      <w:proofErr w:type="spellEnd"/>
      <w:r>
        <w:rPr>
          <w:rFonts w:ascii="Open Sans" w:hAnsi="Open Sans" w:cs="Open Sans"/>
          <w:color w:val="000000"/>
          <w:sz w:val="21"/>
          <w:szCs w:val="21"/>
        </w:rPr>
        <w:t xml:space="preserve"> out</w:t>
      </w:r>
      <w:bookmarkEnd w:id="222"/>
    </w:p>
    <w:p w14:paraId="082B7113"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Each of the class actions regimes prescribe an opt-out system. At some pre-defined stage in the proceedings, the court will settle on the particulars of an 'opt out notice' which includes fixing a date by which group members may opt out of proceedings, by way of written notice to the court. If a claimant is within the class as defined but does not opt out before the fixed date, then they will be bound by any judgment of the court.</w:t>
      </w:r>
    </w:p>
    <w:p w14:paraId="059D9A9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 court will make specific orders as to the form and media for publication of that notice, and the form of notice will depend on the case. Notice is sometimes given by way of press advertisements in national newspapers, by radio or television broadcast, or publication online or via social media. Direct notification is also used where possible.</w:t>
      </w:r>
    </w:p>
    <w:p w14:paraId="0A3FEDD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 courts have also permitted classes to be defined in such a way that only persons who had signed up with a particular litigation funder (and their lawyers) could be a class member – in effect, a form of gate-keeping or informal opt-in system.</w:t>
      </w:r>
    </w:p>
    <w:p w14:paraId="51943549"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3" w:name="_Toc131144746"/>
      <w:r>
        <w:rPr>
          <w:rFonts w:ascii="Open Sans" w:hAnsi="Open Sans" w:cs="Open Sans"/>
          <w:color w:val="000000"/>
          <w:sz w:val="21"/>
          <w:szCs w:val="21"/>
        </w:rPr>
        <w:t>If people opt out, can they start their own proceedings?</w:t>
      </w:r>
      <w:bookmarkEnd w:id="223"/>
    </w:p>
    <w:p w14:paraId="3DCD05B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 xml:space="preserve">If a group member decides to opt out of proceedings before the deadline, they will not share in any settlement or favourable judgment made by the court. However, the individual </w:t>
      </w:r>
      <w:r>
        <w:rPr>
          <w:rFonts w:ascii="Open Sans" w:hAnsi="Open Sans" w:cs="Open Sans"/>
          <w:color w:val="000000"/>
          <w:sz w:val="21"/>
          <w:szCs w:val="21"/>
        </w:rPr>
        <w:lastRenderedPageBreak/>
        <w:t>is then able to pursue an individual claim against the respondent on the same allegations made in the class action, and the normal rules of civil procedure will apply.</w:t>
      </w:r>
    </w:p>
    <w:p w14:paraId="7D6203CA"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4" w:name="_Toc131144747"/>
      <w:r>
        <w:rPr>
          <w:rFonts w:ascii="Open Sans" w:hAnsi="Open Sans" w:cs="Open Sans"/>
          <w:color w:val="000000"/>
          <w:sz w:val="21"/>
          <w:szCs w:val="21"/>
        </w:rPr>
        <w:t>How are competing and/ or overlapping class actions managed?</w:t>
      </w:r>
      <w:bookmarkEnd w:id="224"/>
    </w:p>
    <w:p w14:paraId="34385E4F"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This area of the law continues to evolve. As there is no "certification" regime in Australia, it is possible, and indeed frequent, for multiple class actions to be commenced (by different plaintiffs/ law firms) against the same defendant(s) in respect of similar conduct.</w:t>
      </w:r>
    </w:p>
    <w:p w14:paraId="7186D556"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Overlapping class actions will generally be case managed in the same court (with a formal transfer protocol in place between the State-based Supreme Courts and the Federal Court) by the same judge.</w:t>
      </w:r>
    </w:p>
    <w:p w14:paraId="63A6431F" w14:textId="24AC0385"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There is presently no formal process for resolving competing or overlapping class actions and how the court addresses multiple class actions is a matter of discretion and case management which depends on the particular circumstances. The courts have taken a number of different approaches in the past, including allowing all proceedings to continue culminating in a joint trial, consolidating competing proceedings, and choosing one proceeding to continue whilst staying the others.</w:t>
      </w:r>
    </w:p>
    <w:p w14:paraId="7C69F8CA"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25" w:name="_Toc131144748"/>
      <w:r>
        <w:rPr>
          <w:rFonts w:ascii="inherit" w:hAnsi="inherit" w:cs="Open Sans"/>
          <w:b w:val="0"/>
          <w:bCs w:val="0"/>
          <w:color w:val="000000"/>
          <w:sz w:val="39"/>
          <w:szCs w:val="39"/>
        </w:rPr>
        <w:t>Procedure</w:t>
      </w:r>
      <w:bookmarkEnd w:id="225"/>
    </w:p>
    <w:p w14:paraId="087A593E"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26" w:name="_Toc131144749"/>
      <w:r>
        <w:rPr>
          <w:rFonts w:ascii="Open Sans" w:hAnsi="Open Sans" w:cs="Open Sans"/>
          <w:color w:val="000000"/>
          <w:sz w:val="21"/>
          <w:szCs w:val="21"/>
        </w:rPr>
        <w:t>What happens after a class action is commenced?</w:t>
      </w:r>
      <w:bookmarkEnd w:id="226"/>
    </w:p>
    <w:p w14:paraId="58BE5CB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Once a class action has been commenced, it will continue until resolved unless the court determines that the proceeding should not continue as a class action. The principal basis for that determination is either that the action does not satisfy the mandatory criteria or that it is not otherwise in the interests of justice.</w:t>
      </w:r>
    </w:p>
    <w:p w14:paraId="19F8A7D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Class actions are heavily reliant on constant judicial management. Typically, class actions are periodically listed for “case management conferences” (also known as “directions hearings”) where the judge sets and oversees compliance with a court timetable to ensure that the proceedings is resolved as quickly and efficiently as is possible in the circumstances.</w:t>
      </w:r>
    </w:p>
    <w:p w14:paraId="734C7DA8"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7" w:name="_Toc131144750"/>
      <w:r>
        <w:rPr>
          <w:rFonts w:ascii="Open Sans" w:hAnsi="Open Sans" w:cs="Open Sans"/>
          <w:color w:val="000000"/>
          <w:sz w:val="21"/>
          <w:szCs w:val="21"/>
        </w:rPr>
        <w:t>How is a class action defended?</w:t>
      </w:r>
      <w:bookmarkEnd w:id="227"/>
    </w:p>
    <w:p w14:paraId="587D94F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Every class action is unique and, as a result, the way each class action is defended will depend on the particular facts and issues between the parties. Some class actions require interlocutory management, some are resolved at an early stage and some go to trial.</w:t>
      </w:r>
    </w:p>
    <w:p w14:paraId="64C86FD1"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8" w:name="_Toc131144751"/>
      <w:r>
        <w:rPr>
          <w:rFonts w:ascii="Open Sans" w:hAnsi="Open Sans" w:cs="Open Sans"/>
          <w:color w:val="000000"/>
          <w:sz w:val="21"/>
          <w:szCs w:val="21"/>
        </w:rPr>
        <w:t>How are class actions managed?</w:t>
      </w:r>
      <w:bookmarkEnd w:id="228"/>
    </w:p>
    <w:p w14:paraId="7876859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Civil proceedings in Australia are generally heard by a judge sitting without a jury. Under the Federal Court's "docket system" a class action will be allocated to a judge from when it is commenced, who is then responsible for managing the case until final disposition. In class actions commenced in a State-based Supreme Court, proceedings are similarly allocated to a docket judge for case management, however it is uncommon for the same judge to then preside over the eventual trial.</w:t>
      </w:r>
    </w:p>
    <w:p w14:paraId="75EF8B1A"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29" w:name="_Toc131144752"/>
      <w:r>
        <w:rPr>
          <w:rFonts w:ascii="Open Sans" w:hAnsi="Open Sans" w:cs="Open Sans"/>
          <w:color w:val="000000"/>
          <w:sz w:val="21"/>
          <w:szCs w:val="21"/>
        </w:rPr>
        <w:lastRenderedPageBreak/>
        <w:t>Common Questions and Trial</w:t>
      </w:r>
      <w:bookmarkEnd w:id="229"/>
    </w:p>
    <w:p w14:paraId="01B86CE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most respects, a class action trial proceeds in the same way a single plaintiff trial is conducted. However, the existence of common questions and the plaintiff's role as a "representative" mean that the procedure differs.</w:t>
      </w:r>
    </w:p>
    <w:p w14:paraId="1B3637D4"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Importantly, though there is no standard process for how a class action will proceed, it is common to determine the lead plaintiff's case first, in an attempt to answer "common questions" for all group members. In some courts, this may be preceded by a trial of preliminary issues of fact, or mixed fact and law.</w:t>
      </w:r>
    </w:p>
    <w:p w14:paraId="0A08810F"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Any decision in a class action (be that on preliminary issues, or common questions arising through determination of the lead plaintiff's case) is binding on all group members who did not opt out by the Court deadline.</w:t>
      </w:r>
    </w:p>
    <w:p w14:paraId="034BDA0B"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30" w:name="_Toc131144753"/>
      <w:r>
        <w:rPr>
          <w:rFonts w:ascii="Open Sans" w:hAnsi="Open Sans" w:cs="Open Sans"/>
          <w:color w:val="000000"/>
          <w:sz w:val="21"/>
          <w:szCs w:val="21"/>
        </w:rPr>
        <w:t>How are non-common or individual issues dealt with?</w:t>
      </w:r>
      <w:bookmarkEnd w:id="230"/>
    </w:p>
    <w:p w14:paraId="0FF89750"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Where the determination of the questions common to group members does not finally determine the claims of all group members and there are questions common to the claims of only some group members, the court may direct that those questions be determined by sub-groups or alternatively by appointing sample group members.</w:t>
      </w:r>
    </w:p>
    <w:p w14:paraId="4ED19E32"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sub-group empowers the court to establish a number of smaller representative proceedings, and determine common issues in those smaller proceedings, within the overarching representative proceeding which determines issues that are common to all group members.</w:t>
      </w:r>
    </w:p>
    <w:p w14:paraId="5AAED59B"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addition, the court can allow an individual group member to take part in the proceeding for the purpose of determining a question that relates only to the claim of that member. If the sub-group questions or the individual questions cannot be adequately dealt with, the court can direct that further proceedings be commenced</w:t>
      </w:r>
    </w:p>
    <w:p w14:paraId="03B1C439" w14:textId="50677190"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It is increasingly common for individual issues to be dealt with, following a binding court decision, by agreement, being in accordance with a "settlement scheme" negotiated by the parties (and approved by the Court).</w:t>
      </w:r>
    </w:p>
    <w:p w14:paraId="55C1697E"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31" w:name="_Toc131144754"/>
      <w:r>
        <w:rPr>
          <w:rFonts w:ascii="inherit" w:hAnsi="inherit" w:cs="Open Sans"/>
          <w:b w:val="0"/>
          <w:bCs w:val="0"/>
          <w:color w:val="000000"/>
          <w:sz w:val="39"/>
          <w:szCs w:val="39"/>
        </w:rPr>
        <w:t>Settlement</w:t>
      </w:r>
      <w:bookmarkEnd w:id="231"/>
    </w:p>
    <w:p w14:paraId="77F8E41E"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32" w:name="_Toc131144755"/>
      <w:r>
        <w:rPr>
          <w:rFonts w:ascii="Open Sans" w:hAnsi="Open Sans" w:cs="Open Sans"/>
          <w:color w:val="000000"/>
          <w:sz w:val="21"/>
          <w:szCs w:val="21"/>
        </w:rPr>
        <w:t>Approval of class action settlement</w:t>
      </w:r>
      <w:bookmarkEnd w:id="232"/>
    </w:p>
    <w:p w14:paraId="225448B0"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Settlement can occur at any point in the class action. However, once commenced, a class action may not be settled or discontinued without the approval of the court.</w:t>
      </w:r>
    </w:p>
    <w:p w14:paraId="16755019"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 xml:space="preserve">As part of the settlement approval, group members will be given notice of the settlement and the opportunity to object to the settlement by filing a notice of objection in court. The court will consider all of the notices of objection filed when determining whether to approve a settlement, and group members who have filed a notice may appear before the court during settlement approval and make submissions (with separate legal representation if </w:t>
      </w:r>
      <w:r>
        <w:rPr>
          <w:rFonts w:ascii="Open Sans" w:hAnsi="Open Sans" w:cs="Open Sans"/>
          <w:color w:val="000000"/>
          <w:sz w:val="21"/>
          <w:szCs w:val="21"/>
        </w:rPr>
        <w:lastRenderedPageBreak/>
        <w:t>they wish). It is worth noting that the court considers an absence of objections to be a factor in favour of determining that the proposed settlement is fair and reasonable.</w:t>
      </w:r>
    </w:p>
    <w:p w14:paraId="2D8E7F7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approving a settlement and determining whether it is a fair and reasonable outcome of the litigation for all group members, the court must form a view as to whether to approve a settlement on the material presented and as to the prospects of success and risk of loss considered to apply in the particular case, the advice provided by counsel. It must take an active role, as the approval of the court is a protective mechanism safeguarding the interests and rights of group members. The court will scrutinise whether any settlement or discontinuance of class actions has been undertaken in the interests of the group members as a whole and is not solely beneficial to the class applicant and respondent. The court may well reject a privately negotiated settlement if it is not satisfied that the outcome is in the interests of group members as a whole.</w:t>
      </w:r>
    </w:p>
    <w:p w14:paraId="4EBD9EEC"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33" w:name="_Toc131144756"/>
      <w:r>
        <w:rPr>
          <w:rFonts w:ascii="Open Sans" w:hAnsi="Open Sans" w:cs="Open Sans"/>
          <w:color w:val="000000"/>
          <w:sz w:val="21"/>
          <w:szCs w:val="21"/>
        </w:rPr>
        <w:t>Administration of settlement</w:t>
      </w:r>
      <w:bookmarkEnd w:id="233"/>
    </w:p>
    <w:p w14:paraId="5899A814" w14:textId="11DF931F"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If a class action settlement is approved by the court, the parties will devise a settlement scheme to determine how each group member’s claim is to be assessed in order to calculate and deliver individual entitlements. A registration process must occur as part of settlement in order to identify the number and identity of group members taking part. Where group members do not register, they are still bound by an approved settlement (but will not be entitled to receive any payment). They cannot commence their own separate action if they do not like the terms of a Court approved settlement.</w:t>
      </w:r>
    </w:p>
    <w:p w14:paraId="19D1F051"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34" w:name="_Toc131144757"/>
      <w:r>
        <w:rPr>
          <w:rFonts w:ascii="inherit" w:hAnsi="inherit" w:cs="Open Sans"/>
          <w:b w:val="0"/>
          <w:bCs w:val="0"/>
          <w:color w:val="000000"/>
          <w:sz w:val="39"/>
          <w:szCs w:val="39"/>
        </w:rPr>
        <w:t>Judgment</w:t>
      </w:r>
      <w:bookmarkEnd w:id="234"/>
    </w:p>
    <w:p w14:paraId="25FD203B"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35" w:name="_Toc131144758"/>
      <w:r>
        <w:rPr>
          <w:rFonts w:ascii="Open Sans" w:hAnsi="Open Sans" w:cs="Open Sans"/>
          <w:color w:val="000000"/>
          <w:sz w:val="21"/>
          <w:szCs w:val="21"/>
        </w:rPr>
        <w:t>What is the effect of judgment?</w:t>
      </w:r>
      <w:bookmarkEnd w:id="235"/>
    </w:p>
    <w:p w14:paraId="39E8524A" w14:textId="4849EAD3" w:rsidR="00233CC0" w:rsidRDefault="00233CC0" w:rsidP="00FF3288">
      <w:pPr>
        <w:shd w:val="clear" w:color="auto" w:fill="FFFFFF"/>
        <w:rPr>
          <w:rFonts w:ascii="Open Sans" w:hAnsi="Open Sans" w:cs="Open Sans"/>
          <w:color w:val="000000"/>
          <w:sz w:val="21"/>
          <w:szCs w:val="21"/>
        </w:rPr>
      </w:pPr>
      <w:r>
        <w:rPr>
          <w:rFonts w:ascii="Open Sans" w:hAnsi="Open Sans" w:cs="Open Sans"/>
          <w:color w:val="000000"/>
          <w:sz w:val="21"/>
          <w:szCs w:val="21"/>
        </w:rPr>
        <w:t>Each of the regimes stipulate that a judgment in a class action must describe or otherwise identify the group members who will be affected by it, and binds all such persons so described other than any person who has opted out of the proceeding. However, it does not determine each individual group member's claim. Rather, criteria for assessment are developed in light of the judgment and each group member's claim is then determined against that scheme.</w:t>
      </w:r>
    </w:p>
    <w:p w14:paraId="20A9BAB9"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36" w:name="_Toc131144759"/>
      <w:r>
        <w:rPr>
          <w:rFonts w:ascii="Open Sans" w:hAnsi="Open Sans" w:cs="Open Sans"/>
          <w:color w:val="000000"/>
          <w:sz w:val="21"/>
          <w:szCs w:val="21"/>
        </w:rPr>
        <w:t>What appeal rights exist (generally)?</w:t>
      </w:r>
      <w:bookmarkEnd w:id="236"/>
    </w:p>
    <w:p w14:paraId="2A6D1CE1"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virtually all jurisdictions in Australia there is a right of appeal against the judgment of a trial judge. The procedure varies depending on the jurisdiction in which the original trial was conducted. Leave to appeal is usually necessary when the appeal is from an interlocutory judgment.</w:t>
      </w:r>
    </w:p>
    <w:p w14:paraId="36F9BD21"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Even though appeals generally turn on questions of law, it is not uncommon for parts of the evidence used at trial to be reviewed during the course of an appeal. A party dissatisfied with the decision of a state or territory court of appeal or the Full Federal Court may seek leave to appeal to the High Court of Australia, the country’s ultimate appellate court. Appeals to the High Court are essentially restricted to questions of law. The High Court will grant leave to appeal only if it is convinced that there is a significant question to be determined.</w:t>
      </w:r>
    </w:p>
    <w:p w14:paraId="25D96937"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lastRenderedPageBreak/>
        <w:t>In a class action, a representative plaintiff, or sub-group representative plaintiff, may appeal a judgement on behalf of all group members or all sub-group members within a specified period of time. If a representative plaintiff, or sub-group representative plaintiff does not appeal within the specified time, a group member has a further period of time in which to appeal. A group member does not have the option to opt out of an appeal.</w:t>
      </w:r>
    </w:p>
    <w:p w14:paraId="20A62EBC"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An individual who has had an individual issue determined by the court may appeal from a judgment in respect of that issue.</w:t>
      </w:r>
    </w:p>
    <w:p w14:paraId="32399450" w14:textId="33047A81" w:rsidR="00233CC0" w:rsidRPr="00FF3288" w:rsidRDefault="00233CC0" w:rsidP="00FF3288">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respondent may appeal from a judgement against all group members or sub-group members.</w:t>
      </w:r>
    </w:p>
    <w:p w14:paraId="65FB9594" w14:textId="77777777" w:rsidR="00233CC0" w:rsidRDefault="00233CC0" w:rsidP="00233CC0">
      <w:pPr>
        <w:pStyle w:val="Heading2"/>
        <w:shd w:val="clear" w:color="auto" w:fill="FFFFFF"/>
        <w:spacing w:before="0" w:beforeAutospacing="0" w:after="225" w:afterAutospacing="0"/>
        <w:rPr>
          <w:rFonts w:ascii="inherit" w:hAnsi="inherit" w:cs="Open Sans"/>
          <w:b w:val="0"/>
          <w:bCs w:val="0"/>
          <w:color w:val="000000"/>
          <w:sz w:val="39"/>
          <w:szCs w:val="39"/>
        </w:rPr>
      </w:pPr>
      <w:bookmarkStart w:id="237" w:name="_Toc131144760"/>
      <w:r>
        <w:rPr>
          <w:rFonts w:ascii="inherit" w:hAnsi="inherit" w:cs="Open Sans"/>
          <w:b w:val="0"/>
          <w:bCs w:val="0"/>
          <w:color w:val="000000"/>
          <w:sz w:val="39"/>
          <w:szCs w:val="39"/>
        </w:rPr>
        <w:t>Litigation Funding and Costs Recovery</w:t>
      </w:r>
      <w:bookmarkEnd w:id="237"/>
    </w:p>
    <w:p w14:paraId="7FA64AC5" w14:textId="77777777" w:rsidR="00233CC0" w:rsidRDefault="00233CC0" w:rsidP="00233CC0">
      <w:pPr>
        <w:pStyle w:val="Heading3"/>
        <w:shd w:val="clear" w:color="auto" w:fill="FFFFFF"/>
        <w:spacing w:before="0" w:after="300"/>
        <w:rPr>
          <w:rFonts w:ascii="Open Sans" w:hAnsi="Open Sans" w:cs="Open Sans"/>
          <w:bCs/>
          <w:color w:val="000000"/>
          <w:sz w:val="21"/>
          <w:szCs w:val="21"/>
        </w:rPr>
      </w:pPr>
      <w:bookmarkStart w:id="238" w:name="_Toc131144761"/>
      <w:r>
        <w:rPr>
          <w:rFonts w:ascii="Open Sans" w:hAnsi="Open Sans" w:cs="Open Sans"/>
          <w:color w:val="000000"/>
          <w:sz w:val="21"/>
          <w:szCs w:val="21"/>
        </w:rPr>
        <w:t>Can a defendant obtain security for costs?</w:t>
      </w:r>
      <w:bookmarkEnd w:id="238"/>
    </w:p>
    <w:p w14:paraId="298F5902"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Where an application is made by a defendant, the Court has discretion to order that the representative plaintiff provide security for costs to ensure that there are sufficient funds available to meet a costs order against them. If the class action is backed by a litigation funder, specific disclosures must also be made to the Court about the funding arrangements.</w:t>
      </w:r>
    </w:p>
    <w:p w14:paraId="7B567BDD"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39" w:name="_Toc131144762"/>
      <w:r>
        <w:rPr>
          <w:rFonts w:ascii="Open Sans" w:hAnsi="Open Sans" w:cs="Open Sans"/>
          <w:color w:val="000000"/>
          <w:sz w:val="21"/>
          <w:szCs w:val="21"/>
        </w:rPr>
        <w:t>Can the successful party recover its costs (class actions)?</w:t>
      </w:r>
      <w:bookmarkEnd w:id="239"/>
    </w:p>
    <w:p w14:paraId="3FDABAD5"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 loser-pays rule applies in Australian class actions – the unsuccessful party is usually ordered to pay the costs of the successful party.</w:t>
      </w:r>
    </w:p>
    <w:p w14:paraId="453E466F"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These costs include not only court filing fees, copying charges and other out-of-pocket expenses, but also the lawyer’s professional fees. In this context, a reference to costs is not a reference to the total or actual costs incurred by the successful party. Recoverable costs are generally calculated by reference to a court scale, which invariably limits the amount a successful party can claim for disbursements and services performed by their lawyers.</w:t>
      </w:r>
    </w:p>
    <w:p w14:paraId="0120EDFD"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Responsibility for payment of costs may also be agreed between the parties as part of, or separate to, an offer of settlement. The parties may agree on a precise sum for costs payable or a mechanism to determine that sum (for instance, assessment by an independent third party).</w:t>
      </w:r>
    </w:p>
    <w:p w14:paraId="6756B855"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40" w:name="_Toc131144763"/>
      <w:r>
        <w:rPr>
          <w:rFonts w:ascii="Open Sans" w:hAnsi="Open Sans" w:cs="Open Sans"/>
          <w:color w:val="000000"/>
          <w:sz w:val="21"/>
          <w:szCs w:val="21"/>
        </w:rPr>
        <w:t>What is the representative plaintiff’s liability? Do the group members need to contribute?</w:t>
      </w:r>
      <w:bookmarkEnd w:id="240"/>
    </w:p>
    <w:p w14:paraId="04EA824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In a class action, only the representative plaintiff is liable to pay costs and is entitled to recover costs. In addition, if the court has made an award of damages in a class action, the representative plaintiff may apply to the court for reimbursement of costs that exceed the amount recoverable from the other party. If the court is satisfied that these additional costs have been reasonably incurred, it may order the excess paid out of the damages awarded.</w:t>
      </w:r>
    </w:p>
    <w:p w14:paraId="3394A43A"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lastRenderedPageBreak/>
        <w:t>The courts have also permitted classes to be defined in such a way that only persons who had signed up with a particular litigation funder (and their lawyers) could be a class member – in effect, a form of gate-keeping or informal opt-in system.</w:t>
      </w:r>
    </w:p>
    <w:p w14:paraId="686D1504"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41" w:name="_Toc131144764"/>
      <w:r>
        <w:rPr>
          <w:rFonts w:ascii="Open Sans" w:hAnsi="Open Sans" w:cs="Open Sans"/>
          <w:color w:val="000000"/>
          <w:sz w:val="21"/>
          <w:szCs w:val="21"/>
        </w:rPr>
        <w:t>How are costs calculated?</w:t>
      </w:r>
      <w:bookmarkEnd w:id="241"/>
    </w:p>
    <w:p w14:paraId="3BCC3363"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Costs are either agreed or assessed. This will usually occur at the end of the proceedings. The quantum of any costs recovered and the calculation of those costs will vary considerably depending upon the nature of the class action and the issues that were litigated.</w:t>
      </w:r>
    </w:p>
    <w:p w14:paraId="23DC3D40" w14:textId="77777777" w:rsidR="00233CC0" w:rsidRDefault="00233CC0" w:rsidP="00233CC0">
      <w:pPr>
        <w:pStyle w:val="Heading3"/>
        <w:shd w:val="clear" w:color="auto" w:fill="FFFFFF"/>
        <w:spacing w:before="0" w:after="300"/>
        <w:rPr>
          <w:rFonts w:ascii="Open Sans" w:hAnsi="Open Sans" w:cs="Open Sans"/>
          <w:color w:val="000000"/>
          <w:sz w:val="21"/>
          <w:szCs w:val="21"/>
        </w:rPr>
      </w:pPr>
      <w:bookmarkStart w:id="242" w:name="_Toc131144765"/>
      <w:r>
        <w:rPr>
          <w:rFonts w:ascii="Open Sans" w:hAnsi="Open Sans" w:cs="Open Sans"/>
          <w:color w:val="000000"/>
          <w:sz w:val="21"/>
          <w:szCs w:val="21"/>
        </w:rPr>
        <w:t>Third-party litigation funding</w:t>
      </w:r>
      <w:bookmarkEnd w:id="242"/>
    </w:p>
    <w:p w14:paraId="53268363"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A third-party who has no direct interest in the outcome of the litigation agrees to fund the litigation in return for a share of any favourable judgment or settlement. If the representative plaintiff is unsuccessful, the litigation funder does not receive any return on its investment.</w:t>
      </w:r>
    </w:p>
    <w:p w14:paraId="078B3D38" w14:textId="77777777"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Typically, third-party funders sign up a portion of but not the entire class. This means that some group members are getting a “free ride”. It is generally accepted that this is unfair and the burden of litigation should be borne by all those who derive a benefit. Over the years, the courts have taken different approaches to resolving this problem, including requiring all group members to contribute towards the costs of the litigation, regardless of whether they have signed up with the third-party funder. This area of the law continues to evolve.</w:t>
      </w:r>
    </w:p>
    <w:p w14:paraId="03B82F11" w14:textId="51BEEE6F" w:rsidR="00233CC0" w:rsidRDefault="00233CC0" w:rsidP="00233CC0">
      <w:pPr>
        <w:pStyle w:val="NormalWeb"/>
        <w:shd w:val="clear" w:color="auto" w:fill="FFFFFF"/>
        <w:spacing w:before="0" w:beforeAutospacing="0" w:after="300" w:afterAutospacing="0"/>
        <w:rPr>
          <w:rFonts w:ascii="Open Sans" w:hAnsi="Open Sans" w:cs="Open Sans"/>
          <w:color w:val="000000"/>
          <w:sz w:val="21"/>
          <w:szCs w:val="21"/>
        </w:rPr>
      </w:pPr>
      <w:r>
        <w:rPr>
          <w:rFonts w:ascii="Open Sans" w:hAnsi="Open Sans" w:cs="Open Sans"/>
          <w:color w:val="000000"/>
          <w:sz w:val="21"/>
          <w:szCs w:val="21"/>
        </w:rPr>
        <w:t>Following recent changes to the law, litigation funders acting in Australian class action proceedings are now (generally) required to hold an Australian Financial Services License (AFSL) and as a consequence are subject to various obligations under the conditions of their AFSL as well as the Corporations Act 2001 (</w:t>
      </w:r>
      <w:proofErr w:type="spellStart"/>
      <w:r>
        <w:rPr>
          <w:rFonts w:ascii="Open Sans" w:hAnsi="Open Sans" w:cs="Open Sans"/>
          <w:color w:val="000000"/>
          <w:sz w:val="21"/>
          <w:szCs w:val="21"/>
        </w:rPr>
        <w:t>Cth</w:t>
      </w:r>
      <w:proofErr w:type="spellEnd"/>
      <w:r>
        <w:rPr>
          <w:rFonts w:ascii="Open Sans" w:hAnsi="Open Sans" w:cs="Open Sans"/>
          <w:color w:val="000000"/>
          <w:sz w:val="21"/>
          <w:szCs w:val="21"/>
        </w:rPr>
        <w:t>).</w:t>
      </w:r>
    </w:p>
    <w:p w14:paraId="780DF81D" w14:textId="77777777" w:rsidR="00F42BC7" w:rsidRDefault="00F42BC7" w:rsidP="00F42BC7"/>
    <w:p w14:paraId="4AF45E01" w14:textId="77777777" w:rsidR="00F42BC7" w:rsidRDefault="00F42BC7" w:rsidP="00F42BC7">
      <w:r w:rsidRPr="009934C4">
        <w:rPr>
          <w:noProof/>
        </w:rPr>
        <w:drawing>
          <wp:inline distT="0" distB="0" distL="0" distR="0" wp14:anchorId="3E4D7F28" wp14:editId="386BC801">
            <wp:extent cx="3520440" cy="3027438"/>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532996" cy="3038235"/>
                    </a:xfrm>
                    <a:prstGeom prst="rect">
                      <a:avLst/>
                    </a:prstGeom>
                  </pic:spPr>
                </pic:pic>
              </a:graphicData>
            </a:graphic>
          </wp:inline>
        </w:drawing>
      </w:r>
    </w:p>
    <w:p w14:paraId="1BC734BE" w14:textId="77777777" w:rsidR="00F42BC7" w:rsidRDefault="00F42BC7" w:rsidP="00F42BC7"/>
    <w:p w14:paraId="443F1179" w14:textId="77777777" w:rsidR="00F42BC7" w:rsidRDefault="00F42BC7" w:rsidP="00F42BC7"/>
    <w:p w14:paraId="428E2E7E" w14:textId="77777777" w:rsidR="00F42BC7" w:rsidRDefault="00000000" w:rsidP="00F42BC7">
      <w:pPr>
        <w:shd w:val="clear" w:color="auto" w:fill="52BAD5"/>
        <w:spacing w:after="0" w:line="300" w:lineRule="atLeast"/>
        <w:rPr>
          <w:rFonts w:ascii="Helvetica" w:eastAsia="Times New Roman" w:hAnsi="Helvetica" w:cs="Helvetica"/>
          <w:color w:val="FFFFFF"/>
          <w:sz w:val="30"/>
          <w:szCs w:val="30"/>
          <w:lang w:eastAsia="en-AU"/>
        </w:rPr>
      </w:pPr>
      <w:hyperlink r:id="rId161" w:history="1">
        <w:r w:rsidR="00F42BC7" w:rsidRPr="00834CE0">
          <w:rPr>
            <w:rStyle w:val="Hyperlink"/>
            <w:rFonts w:ascii="Helvetica" w:eastAsia="Times New Roman" w:hAnsi="Helvetica" w:cs="Helvetica"/>
            <w:sz w:val="30"/>
            <w:szCs w:val="30"/>
            <w:lang w:eastAsia="en-AU"/>
          </w:rPr>
          <w:t>https://www.justanswer.com/sip/ex-parte?r=ppc|ga|1|||&amp;JPKW=ex%20parte&amp;JPDC=S&amp;JPST=&amp;JPAD=527039598695&amp;JPMT=p&amp;JPNW=g&amp;JPAF=txt&amp;JPRC=1&amp;JPCD=&amp;JPOP=&amp;cmpid=18717049438&amp;agid=148074535132&amp;fiid=&amp;tgtid=kwd-832565852&amp;ntw=g&amp;dvc=c&amp;cmpid=18717049438&amp;agid=148074535132&amp;fiid=&amp;tgtid=kwd-832565852&amp;ntw=g&amp;dvc=c</w:t>
        </w:r>
      </w:hyperlink>
      <w:r w:rsidR="00F42BC7">
        <w:rPr>
          <w:rFonts w:ascii="Helvetica" w:eastAsia="Times New Roman" w:hAnsi="Helvetica" w:cs="Helvetica"/>
          <w:color w:val="FFFFFF"/>
          <w:sz w:val="30"/>
          <w:szCs w:val="30"/>
          <w:lang w:eastAsia="en-AU"/>
        </w:rPr>
        <w:t xml:space="preserve"> </w:t>
      </w:r>
    </w:p>
    <w:p w14:paraId="78FFCFE7" w14:textId="77777777" w:rsidR="00F42BC7" w:rsidRDefault="00F42BC7" w:rsidP="00F42BC7">
      <w:pPr>
        <w:shd w:val="clear" w:color="auto" w:fill="52BAD5"/>
        <w:spacing w:after="0" w:line="300" w:lineRule="atLeast"/>
        <w:rPr>
          <w:rFonts w:ascii="Helvetica" w:eastAsia="Times New Roman" w:hAnsi="Helvetica" w:cs="Helvetica"/>
          <w:color w:val="FFFFFF"/>
          <w:sz w:val="30"/>
          <w:szCs w:val="30"/>
          <w:lang w:eastAsia="en-AU"/>
        </w:rPr>
      </w:pPr>
    </w:p>
    <w:p w14:paraId="08D7D04D" w14:textId="77777777" w:rsidR="00F42BC7" w:rsidRPr="003A72DE" w:rsidRDefault="00F42BC7" w:rsidP="00F42BC7">
      <w:pPr>
        <w:shd w:val="clear" w:color="auto" w:fill="52BAD5"/>
        <w:spacing w:after="0" w:line="300" w:lineRule="atLeast"/>
        <w:rPr>
          <w:rFonts w:ascii="Helvetica" w:eastAsia="Times New Roman" w:hAnsi="Helvetica" w:cs="Helvetica"/>
          <w:color w:val="FFFFFF"/>
          <w:sz w:val="30"/>
          <w:szCs w:val="30"/>
          <w:lang w:eastAsia="en-AU"/>
        </w:rPr>
      </w:pPr>
      <w:r w:rsidRPr="003A72DE">
        <w:rPr>
          <w:rFonts w:ascii="Helvetica" w:eastAsia="Times New Roman" w:hAnsi="Helvetica" w:cs="Helvetica"/>
          <w:color w:val="FFFFFF"/>
          <w:sz w:val="30"/>
          <w:szCs w:val="30"/>
          <w:lang w:eastAsia="en-AU"/>
        </w:rPr>
        <w:t>Leon, SAB</w:t>
      </w:r>
    </w:p>
    <w:p w14:paraId="5A5EC55B" w14:textId="77777777" w:rsidR="00F42BC7" w:rsidRPr="003A72DE" w:rsidRDefault="00F42BC7" w:rsidP="00F42BC7">
      <w:pPr>
        <w:shd w:val="clear" w:color="auto" w:fill="52BAD5"/>
        <w:spacing w:after="0" w:line="240" w:lineRule="atLeast"/>
        <w:rPr>
          <w:rFonts w:ascii="Helvetica" w:eastAsia="Times New Roman" w:hAnsi="Helvetica" w:cs="Helvetica"/>
          <w:b/>
          <w:bCs/>
          <w:color w:val="FFFFFF"/>
          <w:sz w:val="18"/>
          <w:szCs w:val="18"/>
          <w:lang w:eastAsia="en-AU"/>
        </w:rPr>
      </w:pPr>
      <w:r w:rsidRPr="003A72DE">
        <w:rPr>
          <w:rFonts w:ascii="Helvetica" w:eastAsia="Times New Roman" w:hAnsi="Helvetica" w:cs="Helvetica"/>
          <w:b/>
          <w:bCs/>
          <w:color w:val="FFFFFF"/>
          <w:sz w:val="18"/>
          <w:szCs w:val="18"/>
          <w:lang w:eastAsia="en-AU"/>
        </w:rPr>
        <w:t>Solicitor and AU Law Expert</w:t>
      </w:r>
    </w:p>
    <w:p w14:paraId="00C6146C" w14:textId="77777777" w:rsidR="00F42BC7" w:rsidRPr="003A72DE" w:rsidRDefault="00F42BC7" w:rsidP="00F42BC7">
      <w:pPr>
        <w:shd w:val="clear" w:color="auto" w:fill="52BAD5"/>
        <w:spacing w:after="0" w:line="240" w:lineRule="atLeast"/>
        <w:rPr>
          <w:rFonts w:ascii="Helvetica" w:eastAsia="Times New Roman" w:hAnsi="Helvetica" w:cs="Helvetica"/>
          <w:color w:val="FFFFFF"/>
          <w:sz w:val="18"/>
          <w:szCs w:val="18"/>
          <w:lang w:eastAsia="en-AU"/>
        </w:rPr>
      </w:pPr>
      <w:r w:rsidRPr="003A72DE">
        <w:rPr>
          <w:rFonts w:ascii="Helvetica" w:eastAsia="Times New Roman" w:hAnsi="Helvetica" w:cs="Helvetica"/>
          <w:color w:val="FFFFFF"/>
          <w:sz w:val="18"/>
          <w:szCs w:val="18"/>
          <w:lang w:eastAsia="en-AU"/>
        </w:rPr>
        <w:t>Solicitor and Australian Law Expert</w:t>
      </w:r>
    </w:p>
    <w:p w14:paraId="4A0A16FA" w14:textId="77777777" w:rsidR="00F42BC7" w:rsidRPr="003A72DE" w:rsidRDefault="00F42BC7" w:rsidP="00F42BC7">
      <w:pPr>
        <w:shd w:val="clear" w:color="auto" w:fill="52BAD5"/>
        <w:spacing w:after="0" w:line="180" w:lineRule="atLeast"/>
        <w:rPr>
          <w:rFonts w:ascii="Helvetica" w:eastAsia="Times New Roman" w:hAnsi="Helvetica" w:cs="Helvetica"/>
          <w:color w:val="FFFFFF"/>
          <w:sz w:val="18"/>
          <w:szCs w:val="18"/>
          <w:lang w:eastAsia="en-AU"/>
        </w:rPr>
      </w:pPr>
      <w:r w:rsidRPr="003A72DE">
        <w:rPr>
          <w:rFonts w:ascii="Helvetica" w:eastAsia="Times New Roman" w:hAnsi="Helvetica" w:cs="Helvetica"/>
          <w:b/>
          <w:bCs/>
          <w:color w:val="FFFFFF"/>
          <w:sz w:val="18"/>
          <w:szCs w:val="18"/>
          <w:lang w:eastAsia="en-AU"/>
        </w:rPr>
        <w:t>33,551</w:t>
      </w:r>
      <w:r w:rsidRPr="003A72DE">
        <w:rPr>
          <w:rFonts w:ascii="Helvetica" w:eastAsia="Times New Roman" w:hAnsi="Helvetica" w:cs="Helvetica"/>
          <w:color w:val="FFFFFF"/>
          <w:sz w:val="18"/>
          <w:szCs w:val="18"/>
          <w:lang w:eastAsia="en-AU"/>
        </w:rPr>
        <w:t> Satisfied customers</w:t>
      </w:r>
    </w:p>
    <w:p w14:paraId="002040F4"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1D775604" wp14:editId="062BA276">
            <wp:extent cx="224790" cy="224790"/>
            <wp:effectExtent l="0" t="0" r="3810" b="3810"/>
            <wp:docPr id="7" name="Picture 7"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l Wils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70687E32"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73BE2EC9"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 xml:space="preserve">Welcome! How can I help with your ex </w:t>
      </w:r>
      <w:proofErr w:type="spellStart"/>
      <w:r w:rsidRPr="00275EA2">
        <w:rPr>
          <w:rFonts w:ascii="Helvetica" w:eastAsia="Times New Roman" w:hAnsi="Helvetica" w:cs="Helvetica"/>
          <w:color w:val="333333"/>
          <w:sz w:val="20"/>
          <w:szCs w:val="20"/>
          <w:lang w:eastAsia="en-AU"/>
        </w:rPr>
        <w:t>parte</w:t>
      </w:r>
      <w:proofErr w:type="spellEnd"/>
      <w:r w:rsidRPr="00275EA2">
        <w:rPr>
          <w:rFonts w:ascii="Helvetica" w:eastAsia="Times New Roman" w:hAnsi="Helvetica" w:cs="Helvetica"/>
          <w:color w:val="333333"/>
          <w:sz w:val="20"/>
          <w:szCs w:val="20"/>
          <w:lang w:eastAsia="en-AU"/>
        </w:rPr>
        <w:t xml:space="preserve"> law question?</w:t>
      </w:r>
    </w:p>
    <w:p w14:paraId="6215CF87"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79C74748"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Obtain declarative order from High Court in QLD on whether the definition of domestic terrorist as defined by the chief commissioner of police applies to me and if not that a protection order against all organs of state be issued binding them in terms of the court's findings and that should they act contrary to the order, that an interim order of restraint or arrest (as the court deems fit) be made binding on them. All in the light of the recent case of Morrison "suicide" in Warwick. My activities at www.irff.online bear reference. If you think I am irrational in considering that I am at risk, please do not even bother replying. You will need to do some research.</w:t>
      </w:r>
    </w:p>
    <w:p w14:paraId="6D067BCE"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53043586" wp14:editId="63863968">
            <wp:extent cx="224790" cy="224790"/>
            <wp:effectExtent l="0" t="0" r="3810" b="3810"/>
            <wp:docPr id="8" name="Picture 8"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l Wils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2CC88858"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24237136"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Was a protective order issued? What were the basic terms?</w:t>
      </w:r>
    </w:p>
    <w:p w14:paraId="7EBAE4E7"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62EC6C46"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No. No application has been made yet. I yet need to find precedents and research the rules of court etc.</w:t>
      </w:r>
    </w:p>
    <w:p w14:paraId="2302AB19"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2F5541EB" wp14:editId="74CEA6DD">
            <wp:extent cx="224790" cy="224790"/>
            <wp:effectExtent l="0" t="0" r="3810" b="3810"/>
            <wp:docPr id="14" name="Picture 14"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rl Wils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386AA69D"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6E86A847"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Is there ongoing abuse or harassment? Were the police called?</w:t>
      </w:r>
    </w:p>
    <w:p w14:paraId="3EF2A46E"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7D9AD484"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 xml:space="preserve">Only through the media. It amounts to a sword of </w:t>
      </w:r>
      <w:proofErr w:type="spellStart"/>
      <w:r w:rsidRPr="00275EA2">
        <w:rPr>
          <w:rFonts w:ascii="Helvetica" w:eastAsia="Times New Roman" w:hAnsi="Helvetica" w:cs="Helvetica"/>
          <w:color w:val="333333"/>
          <w:sz w:val="20"/>
          <w:szCs w:val="20"/>
          <w:lang w:eastAsia="en-AU"/>
        </w:rPr>
        <w:t>Damacles</w:t>
      </w:r>
      <w:proofErr w:type="spellEnd"/>
      <w:r w:rsidRPr="00275EA2">
        <w:rPr>
          <w:rFonts w:ascii="Helvetica" w:eastAsia="Times New Roman" w:hAnsi="Helvetica" w:cs="Helvetica"/>
          <w:color w:val="333333"/>
          <w:sz w:val="20"/>
          <w:szCs w:val="20"/>
          <w:lang w:eastAsia="en-AU"/>
        </w:rPr>
        <w:t xml:space="preserve">. I have no idea whether the hysterical attitude adopted by the Police Commissioner will result in me being a similar target. The threat is reasonable and ongoing until a declarative is issued by an independent and impartial forum that can bind the state with </w:t>
      </w:r>
      <w:proofErr w:type="spellStart"/>
      <w:r w:rsidRPr="00275EA2">
        <w:rPr>
          <w:rFonts w:ascii="Helvetica" w:eastAsia="Times New Roman" w:hAnsi="Helvetica" w:cs="Helvetica"/>
          <w:color w:val="333333"/>
          <w:sz w:val="20"/>
          <w:szCs w:val="20"/>
          <w:lang w:eastAsia="en-AU"/>
        </w:rPr>
        <w:t>it's</w:t>
      </w:r>
      <w:proofErr w:type="spellEnd"/>
      <w:r w:rsidRPr="00275EA2">
        <w:rPr>
          <w:rFonts w:ascii="Helvetica" w:eastAsia="Times New Roman" w:hAnsi="Helvetica" w:cs="Helvetica"/>
          <w:color w:val="333333"/>
          <w:sz w:val="20"/>
          <w:szCs w:val="20"/>
          <w:lang w:eastAsia="en-AU"/>
        </w:rPr>
        <w:t xml:space="preserve"> judgment.</w:t>
      </w:r>
    </w:p>
    <w:p w14:paraId="37D7D3E0"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36E46BF7" wp14:editId="740EA9FC">
            <wp:extent cx="224790" cy="224790"/>
            <wp:effectExtent l="0" t="0" r="3810" b="3810"/>
            <wp:docPr id="2" name="Picture 2"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rl Wils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6DE7FF08"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782FBAC2"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Is there anything else the Lawyer should know before I connect you? Rest assured that they'll be able to help you.</w:t>
      </w:r>
    </w:p>
    <w:p w14:paraId="5A1C9132"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You</w:t>
      </w:r>
    </w:p>
    <w:p w14:paraId="14FB1A96"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333333"/>
          <w:sz w:val="20"/>
          <w:szCs w:val="20"/>
          <w:lang w:eastAsia="en-AU"/>
        </w:rPr>
        <w:t>They need to do their due diligence on this inquiry of course. My website is wwww.izak@izak.co.za the relative link is labelled Freedom Foundation. I can end my research to date which comprises 73 pages.</w:t>
      </w:r>
    </w:p>
    <w:p w14:paraId="0037A3CB"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noProof/>
          <w:color w:val="333333"/>
          <w:sz w:val="20"/>
          <w:szCs w:val="20"/>
          <w:lang w:eastAsia="en-AU"/>
        </w:rPr>
        <w:drawing>
          <wp:inline distT="0" distB="0" distL="0" distR="0" wp14:anchorId="719C1EC8" wp14:editId="0D55D0C7">
            <wp:extent cx="224790" cy="224790"/>
            <wp:effectExtent l="0" t="0" r="3810" b="3810"/>
            <wp:docPr id="1" name="Picture 1" descr="Pearl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rl Wilson"/>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p>
    <w:p w14:paraId="7193582B" w14:textId="77777777" w:rsidR="00F42BC7" w:rsidRPr="00275EA2" w:rsidRDefault="00F42BC7" w:rsidP="00F42BC7">
      <w:pPr>
        <w:shd w:val="clear" w:color="auto" w:fill="F5F5F5"/>
        <w:spacing w:after="0" w:line="240" w:lineRule="auto"/>
        <w:rPr>
          <w:rFonts w:ascii="Helvetica" w:eastAsia="Times New Roman" w:hAnsi="Helvetica" w:cs="Helvetica"/>
          <w:color w:val="333333"/>
          <w:sz w:val="20"/>
          <w:szCs w:val="20"/>
          <w:lang w:eastAsia="en-AU"/>
        </w:rPr>
      </w:pPr>
      <w:r w:rsidRPr="00275EA2">
        <w:rPr>
          <w:rFonts w:ascii="Helvetica" w:eastAsia="Times New Roman" w:hAnsi="Helvetica" w:cs="Helvetica"/>
          <w:color w:val="999999"/>
          <w:sz w:val="20"/>
          <w:szCs w:val="20"/>
          <w:lang w:eastAsia="en-AU"/>
        </w:rPr>
        <w:t>Pearl Wilson, Expert's Assistant</w:t>
      </w:r>
    </w:p>
    <w:p w14:paraId="3CAA5705" w14:textId="77777777" w:rsidR="00F42BC7" w:rsidRPr="003A72DE" w:rsidRDefault="00F42BC7" w:rsidP="00F42BC7">
      <w:pPr>
        <w:shd w:val="clear" w:color="auto" w:fill="F5F5F5"/>
        <w:spacing w:after="100" w:line="240" w:lineRule="auto"/>
        <w:rPr>
          <w:rFonts w:ascii="Helvetica" w:eastAsia="Times New Roman" w:hAnsi="Helvetica" w:cs="Helvetica"/>
          <w:color w:val="333333"/>
          <w:szCs w:val="24"/>
          <w:lang w:eastAsia="en-AU"/>
        </w:rPr>
      </w:pPr>
      <w:r w:rsidRPr="00275EA2">
        <w:rPr>
          <w:rFonts w:ascii="Helvetica" w:eastAsia="Times New Roman" w:hAnsi="Helvetica" w:cs="Helvetica"/>
          <w:color w:val="333333"/>
          <w:sz w:val="20"/>
          <w:szCs w:val="20"/>
          <w:lang w:eastAsia="en-AU"/>
        </w:rPr>
        <w:t xml:space="preserve">OK. Got it. I'm sending you to a secure page to join </w:t>
      </w:r>
      <w:proofErr w:type="spellStart"/>
      <w:r w:rsidRPr="00275EA2">
        <w:rPr>
          <w:rFonts w:ascii="Helvetica" w:eastAsia="Times New Roman" w:hAnsi="Helvetica" w:cs="Helvetica"/>
          <w:color w:val="333333"/>
          <w:sz w:val="20"/>
          <w:szCs w:val="20"/>
          <w:lang w:eastAsia="en-AU"/>
        </w:rPr>
        <w:t>JustAnswer</w:t>
      </w:r>
      <w:proofErr w:type="spellEnd"/>
      <w:r w:rsidRPr="00275EA2">
        <w:rPr>
          <w:rFonts w:ascii="Helvetica" w:eastAsia="Times New Roman" w:hAnsi="Helvetica" w:cs="Helvetica"/>
          <w:color w:val="333333"/>
          <w:sz w:val="20"/>
          <w:szCs w:val="20"/>
          <w:lang w:eastAsia="en-AU"/>
        </w:rPr>
        <w:t xml:space="preserve"> for only AU$2 (fully-refundable). While you're filling out that form, I'll tell the Criminal Lawyer about your situation and then connect you two. Continue &gt;&gt;</w:t>
      </w:r>
    </w:p>
    <w:p w14:paraId="20EC5731" w14:textId="77777777" w:rsidR="00014E60" w:rsidRDefault="00014E60" w:rsidP="00233CC0">
      <w:pPr>
        <w:pStyle w:val="NormalWeb"/>
        <w:shd w:val="clear" w:color="auto" w:fill="FFFFFF"/>
        <w:spacing w:before="0" w:beforeAutospacing="0" w:after="300" w:afterAutospacing="0"/>
        <w:rPr>
          <w:rFonts w:ascii="Open Sans" w:hAnsi="Open Sans" w:cs="Open Sans"/>
          <w:color w:val="000000"/>
          <w:sz w:val="21"/>
          <w:szCs w:val="21"/>
        </w:rPr>
      </w:pPr>
    </w:p>
    <w:p w14:paraId="3F275BD5" w14:textId="77777777" w:rsidR="00275EA2" w:rsidRDefault="00275EA2" w:rsidP="00275EA2">
      <w:pPr>
        <w:tabs>
          <w:tab w:val="right" w:pos="10206"/>
        </w:tabs>
        <w:jc w:val="center"/>
        <w:rPr>
          <w:sz w:val="16"/>
          <w:lang w:val="en-GB"/>
        </w:rPr>
      </w:pPr>
      <w:r>
        <w:rPr>
          <w:sz w:val="16"/>
          <w:lang w:val="en-GB"/>
        </w:rPr>
        <w:t>Form 2</w:t>
      </w:r>
    </w:p>
    <w:p w14:paraId="63FAC695" w14:textId="77777777" w:rsidR="00275EA2" w:rsidRDefault="00275EA2" w:rsidP="00275EA2">
      <w:pPr>
        <w:tabs>
          <w:tab w:val="right" w:pos="10206"/>
        </w:tabs>
        <w:jc w:val="center"/>
        <w:rPr>
          <w:sz w:val="16"/>
          <w:lang w:val="en-GB"/>
        </w:rPr>
      </w:pPr>
      <w:r>
        <w:rPr>
          <w:sz w:val="16"/>
          <w:lang w:val="en-GB"/>
        </w:rPr>
        <w:lastRenderedPageBreak/>
        <w:t>QUEENSLAND</w:t>
      </w:r>
    </w:p>
    <w:p w14:paraId="26A1288F"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ACT 1982</w:t>
      </w:r>
    </w:p>
    <w:p w14:paraId="0F9DB50B"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(Sections 5 and 99)</w:t>
      </w:r>
    </w:p>
    <w:p w14:paraId="3037183A"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REGULATION 2020</w:t>
      </w:r>
    </w:p>
    <w:p w14:paraId="4CA92982"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(Section 9)</w:t>
      </w:r>
    </w:p>
    <w:p w14:paraId="10AA4229" w14:textId="77777777" w:rsidR="00275EA2" w:rsidRDefault="00275EA2" w:rsidP="00275EA2">
      <w:pPr>
        <w:tabs>
          <w:tab w:val="right" w:pos="10206"/>
        </w:tabs>
        <w:jc w:val="center"/>
        <w:rPr>
          <w:b/>
          <w:sz w:val="22"/>
          <w:lang w:val="en-GB"/>
        </w:rPr>
      </w:pPr>
    </w:p>
    <w:p w14:paraId="6EB8E1E1" w14:textId="77777777" w:rsidR="00275EA2" w:rsidRDefault="00275EA2" w:rsidP="00275EA2">
      <w:pPr>
        <w:tabs>
          <w:tab w:val="right" w:pos="10206"/>
        </w:tabs>
        <w:jc w:val="center"/>
        <w:rPr>
          <w:b/>
          <w:sz w:val="22"/>
          <w:lang w:val="en-GB"/>
        </w:rPr>
      </w:pPr>
      <w:r>
        <w:rPr>
          <w:b/>
          <w:sz w:val="22"/>
          <w:lang w:val="en-GB"/>
        </w:rPr>
        <w:t>SUMMONS</w:t>
      </w:r>
    </w:p>
    <w:p w14:paraId="45BE5D6A" w14:textId="77777777" w:rsidR="00275EA2" w:rsidRDefault="00275EA2" w:rsidP="00275EA2">
      <w:pPr>
        <w:tabs>
          <w:tab w:val="right" w:pos="10206"/>
        </w:tabs>
        <w:jc w:val="both"/>
        <w:rPr>
          <w:sz w:val="22"/>
          <w:lang w:val="en-GB"/>
        </w:rPr>
      </w:pPr>
    </w:p>
    <w:p w14:paraId="33127BE8" w14:textId="4C3FABEE" w:rsidR="00275EA2" w:rsidRDefault="00275EA2" w:rsidP="00275EA2">
      <w:pPr>
        <w:tabs>
          <w:tab w:val="right" w:pos="10206"/>
        </w:tabs>
        <w:jc w:val="both"/>
        <w:rPr>
          <w:sz w:val="22"/>
          <w:lang w:val="en-GB"/>
        </w:rPr>
      </w:pPr>
      <w:r>
        <w:rPr>
          <w:b/>
          <w:sz w:val="22"/>
          <w:lang w:val="en-GB"/>
        </w:rPr>
        <w:t>To:</w:t>
      </w:r>
      <w:r>
        <w:rPr>
          <w:sz w:val="22"/>
          <w:lang w:val="en-GB"/>
        </w:rPr>
        <w:t>__________________________________________</w:t>
      </w:r>
      <w:r w:rsidR="00C03B71">
        <w:rPr>
          <w:sz w:val="22"/>
          <w:lang w:val="en-GB"/>
        </w:rPr>
        <w:t>__</w:t>
      </w:r>
      <w:r>
        <w:rPr>
          <w:sz w:val="22"/>
          <w:lang w:val="en-GB"/>
        </w:rPr>
        <w:t>______________(the defendant)</w:t>
      </w:r>
    </w:p>
    <w:p w14:paraId="6728494C" w14:textId="732946A0" w:rsidR="00275EA2" w:rsidRDefault="00275EA2" w:rsidP="00275EA2">
      <w:pPr>
        <w:tabs>
          <w:tab w:val="right" w:pos="10206"/>
        </w:tabs>
        <w:spacing w:line="400" w:lineRule="exact"/>
        <w:jc w:val="both"/>
        <w:rPr>
          <w:sz w:val="22"/>
          <w:lang w:val="en-GB"/>
        </w:rPr>
      </w:pPr>
      <w:r>
        <w:rPr>
          <w:sz w:val="22"/>
          <w:lang w:val="en-GB"/>
        </w:rPr>
        <w:t>of</w:t>
      </w:r>
      <w:r>
        <w:rPr>
          <w:sz w:val="22"/>
          <w:lang w:val="en-GB"/>
        </w:rPr>
        <w:tab/>
        <w:t>___________________________________</w:t>
      </w:r>
      <w:r w:rsidR="00C03B71">
        <w:rPr>
          <w:sz w:val="22"/>
          <w:lang w:val="en-GB"/>
        </w:rPr>
        <w:t>_______________</w:t>
      </w:r>
      <w:r>
        <w:rPr>
          <w:sz w:val="22"/>
          <w:lang w:val="en-GB"/>
        </w:rPr>
        <w:t xml:space="preserve"> in the State of Queensland</w:t>
      </w:r>
    </w:p>
    <w:p w14:paraId="0F90D688" w14:textId="3219B421" w:rsidR="00275EA2" w:rsidRDefault="00275EA2" w:rsidP="00275EA2">
      <w:pPr>
        <w:tabs>
          <w:tab w:val="right" w:pos="10206"/>
        </w:tabs>
        <w:spacing w:after="120" w:line="400" w:lineRule="exact"/>
        <w:jc w:val="both"/>
        <w:rPr>
          <w:sz w:val="22"/>
          <w:lang w:val="en-GB"/>
        </w:rPr>
      </w:pPr>
      <w:r>
        <w:rPr>
          <w:sz w:val="22"/>
          <w:lang w:val="en-GB"/>
        </w:rPr>
        <w:t>A complaint has been made before me and it has been substantiated to my satisfaction that on___________________________ at __________________________________________</w:t>
      </w:r>
    </w:p>
    <w:p w14:paraId="4282E4CA" w14:textId="77777777" w:rsidR="00275EA2" w:rsidRDefault="00275EA2" w:rsidP="00275EA2">
      <w:pPr>
        <w:widowControl w:val="0"/>
        <w:numPr>
          <w:ilvl w:val="0"/>
          <w:numId w:val="63"/>
        </w:numPr>
        <w:tabs>
          <w:tab w:val="right" w:pos="10206"/>
        </w:tabs>
        <w:snapToGrid w:val="0"/>
        <w:spacing w:after="0" w:line="240" w:lineRule="auto"/>
        <w:jc w:val="both"/>
        <w:rPr>
          <w:b/>
          <w:sz w:val="22"/>
          <w:lang w:val="en-GB"/>
        </w:rPr>
      </w:pPr>
      <w:r>
        <w:rPr>
          <w:b/>
          <w:sz w:val="22"/>
          <w:lang w:val="en-GB"/>
        </w:rPr>
        <w:t>you threatened—</w:t>
      </w:r>
    </w:p>
    <w:p w14:paraId="328FFADE"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line="300" w:lineRule="exact"/>
        <w:rPr>
          <w:sz w:val="22"/>
          <w:szCs w:val="22"/>
          <w:lang w:val="en-GB"/>
        </w:rPr>
      </w:pPr>
      <w:r>
        <w:rPr>
          <w:sz w:val="22"/>
          <w:szCs w:val="22"/>
        </w:rPr>
        <w:t>to assault or to do any bodily injury to the complainant or to any person under the care or charge of the complainant</w:t>
      </w:r>
    </w:p>
    <w:p w14:paraId="5897D630"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line="300" w:lineRule="exact"/>
        <w:rPr>
          <w:sz w:val="22"/>
          <w:szCs w:val="22"/>
        </w:rPr>
      </w:pPr>
      <w:r>
        <w:rPr>
          <w:sz w:val="22"/>
          <w:szCs w:val="22"/>
        </w:rPr>
        <w:t>to procure any other person to assault or to do any bodily injury to the complainant or to any person under the care or charge of the complainant</w:t>
      </w:r>
    </w:p>
    <w:p w14:paraId="5400CA79"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line="300" w:lineRule="exact"/>
        <w:rPr>
          <w:sz w:val="22"/>
          <w:szCs w:val="22"/>
        </w:rPr>
      </w:pPr>
      <w:r>
        <w:rPr>
          <w:sz w:val="22"/>
          <w:szCs w:val="22"/>
        </w:rPr>
        <w:t>to destroy or damage any property of the complainant</w:t>
      </w:r>
    </w:p>
    <w:p w14:paraId="3D647865" w14:textId="77777777" w:rsidR="00275EA2" w:rsidRDefault="00275EA2" w:rsidP="00275EA2">
      <w:pPr>
        <w:pStyle w:val="BodyText"/>
        <w:numPr>
          <w:ilvl w:val="0"/>
          <w:numId w:val="64"/>
        </w:numPr>
        <w:tabs>
          <w:tab w:val="clear" w:pos="855"/>
          <w:tab w:val="left" w:pos="432"/>
          <w:tab w:val="left" w:pos="851"/>
          <w:tab w:val="right" w:pos="10033"/>
        </w:tabs>
        <w:autoSpaceDE/>
        <w:autoSpaceDN/>
        <w:snapToGrid w:val="0"/>
        <w:spacing w:after="120" w:line="300" w:lineRule="exact"/>
        <w:rPr>
          <w:sz w:val="22"/>
          <w:szCs w:val="22"/>
        </w:rPr>
      </w:pPr>
      <w:r>
        <w:rPr>
          <w:sz w:val="22"/>
          <w:szCs w:val="22"/>
        </w:rPr>
        <w:t>to procure any other person to destroy or damage any property of the complainant</w:t>
      </w:r>
    </w:p>
    <w:p w14:paraId="526B9EDF" w14:textId="77777777" w:rsidR="00275EA2" w:rsidRDefault="00275EA2" w:rsidP="00275EA2">
      <w:pPr>
        <w:pStyle w:val="BodyText"/>
        <w:tabs>
          <w:tab w:val="left" w:pos="851"/>
        </w:tabs>
        <w:spacing w:after="120" w:line="300" w:lineRule="exact"/>
        <w:rPr>
          <w:sz w:val="22"/>
          <w:szCs w:val="22"/>
        </w:rPr>
      </w:pPr>
      <w:r>
        <w:rPr>
          <w:sz w:val="22"/>
          <w:szCs w:val="22"/>
        </w:rPr>
        <w:t>and the complainant is in fear of you.</w:t>
      </w:r>
    </w:p>
    <w:p w14:paraId="05BAA53C" w14:textId="77777777" w:rsidR="00275EA2" w:rsidRDefault="00275EA2" w:rsidP="00275EA2">
      <w:pPr>
        <w:tabs>
          <w:tab w:val="right" w:pos="10206"/>
        </w:tabs>
        <w:spacing w:after="120"/>
        <w:jc w:val="both"/>
        <w:rPr>
          <w:sz w:val="22"/>
          <w:lang w:val="en-GB"/>
        </w:rPr>
      </w:pPr>
      <w:r>
        <w:rPr>
          <w:b/>
          <w:sz w:val="22"/>
          <w:lang w:val="en-GB"/>
        </w:rPr>
        <w:t>OR—</w:t>
      </w:r>
    </w:p>
    <w:p w14:paraId="6461A891" w14:textId="77777777" w:rsidR="00275EA2" w:rsidRDefault="00275EA2" w:rsidP="00275EA2">
      <w:pPr>
        <w:tabs>
          <w:tab w:val="right" w:pos="10206"/>
        </w:tabs>
        <w:spacing w:after="120"/>
        <w:jc w:val="both"/>
        <w:rPr>
          <w:sz w:val="22"/>
          <w:lang w:val="en-GB"/>
        </w:rPr>
      </w:pPr>
      <w:r>
        <w:rPr>
          <w:b/>
          <w:sz w:val="22"/>
          <w:lang w:val="en-GB"/>
        </w:rPr>
        <w:t>2.</w:t>
      </w:r>
      <w:r>
        <w:rPr>
          <w:b/>
          <w:sz w:val="22"/>
          <w:lang w:val="en-GB"/>
        </w:rPr>
        <w:tab/>
      </w:r>
      <w:r>
        <w:rPr>
          <w:sz w:val="22"/>
          <w:lang w:val="en-GB"/>
        </w:rPr>
        <w:t>That your intentional conduct, directed at the complainant, has caused the complainant to fear that you will destroy or damage any property of the complainant.</w:t>
      </w:r>
    </w:p>
    <w:p w14:paraId="118C9E3E" w14:textId="77777777" w:rsidR="00275EA2" w:rsidRDefault="00275EA2" w:rsidP="00275EA2">
      <w:pPr>
        <w:tabs>
          <w:tab w:val="right" w:pos="10206"/>
        </w:tabs>
        <w:spacing w:after="120"/>
        <w:jc w:val="both"/>
        <w:rPr>
          <w:b/>
          <w:sz w:val="22"/>
          <w:lang w:val="en-GB"/>
        </w:rPr>
      </w:pPr>
      <w:r>
        <w:rPr>
          <w:b/>
          <w:sz w:val="22"/>
          <w:lang w:val="en-GB"/>
        </w:rPr>
        <w:t>You, the defendant, are hereby directed to appear before the Magistrates Court at:</w:t>
      </w:r>
    </w:p>
    <w:p w14:paraId="5A9F62A6" w14:textId="77777777" w:rsidR="00275EA2" w:rsidRDefault="00275EA2" w:rsidP="00275EA2">
      <w:pPr>
        <w:tabs>
          <w:tab w:val="right" w:pos="10206"/>
        </w:tabs>
        <w:spacing w:after="120"/>
        <w:jc w:val="both"/>
        <w:rPr>
          <w:sz w:val="22"/>
          <w:lang w:val="en-GB"/>
        </w:rPr>
      </w:pPr>
      <w:r>
        <w:rPr>
          <w:sz w:val="22"/>
          <w:lang w:val="en-GB"/>
        </w:rPr>
        <w:t>Place:</w:t>
      </w:r>
    </w:p>
    <w:p w14:paraId="2F986800" w14:textId="77777777" w:rsidR="00275EA2" w:rsidRDefault="00275EA2" w:rsidP="00275EA2">
      <w:pPr>
        <w:tabs>
          <w:tab w:val="right" w:pos="10206"/>
        </w:tabs>
        <w:spacing w:after="120"/>
        <w:jc w:val="both"/>
        <w:rPr>
          <w:sz w:val="22"/>
          <w:lang w:val="en-GB"/>
        </w:rPr>
      </w:pPr>
      <w:r>
        <w:rPr>
          <w:sz w:val="22"/>
          <w:lang w:val="en-GB"/>
        </w:rPr>
        <w:t>Date:</w:t>
      </w:r>
    </w:p>
    <w:p w14:paraId="04DA9ED9" w14:textId="77777777" w:rsidR="00275EA2" w:rsidRDefault="00275EA2" w:rsidP="00275EA2">
      <w:pPr>
        <w:tabs>
          <w:tab w:val="right" w:pos="10206"/>
        </w:tabs>
        <w:spacing w:after="120"/>
        <w:jc w:val="both"/>
        <w:rPr>
          <w:sz w:val="22"/>
          <w:lang w:val="en-GB"/>
        </w:rPr>
      </w:pPr>
      <w:r>
        <w:rPr>
          <w:sz w:val="22"/>
          <w:lang w:val="en-GB"/>
        </w:rPr>
        <w:t>Time:</w:t>
      </w:r>
    </w:p>
    <w:p w14:paraId="520C8BF3" w14:textId="77777777" w:rsidR="00275EA2" w:rsidRDefault="00275EA2" w:rsidP="00275EA2">
      <w:pPr>
        <w:tabs>
          <w:tab w:val="right" w:pos="10206"/>
        </w:tabs>
        <w:spacing w:after="120"/>
        <w:jc w:val="both"/>
        <w:rPr>
          <w:sz w:val="22"/>
          <w:lang w:val="en-GB"/>
        </w:rPr>
      </w:pPr>
      <w:r>
        <w:rPr>
          <w:sz w:val="22"/>
          <w:lang w:val="en-GB"/>
        </w:rPr>
        <w:t>to answer the complaint and to be further dealt with according to law.</w:t>
      </w:r>
    </w:p>
    <w:p w14:paraId="4661CE0E" w14:textId="77777777" w:rsidR="00275EA2" w:rsidRDefault="00275EA2" w:rsidP="00275EA2">
      <w:pPr>
        <w:tabs>
          <w:tab w:val="right" w:pos="10206"/>
        </w:tabs>
        <w:spacing w:after="120"/>
        <w:jc w:val="both"/>
        <w:rPr>
          <w:sz w:val="22"/>
          <w:lang w:val="en-GB"/>
        </w:rPr>
      </w:pPr>
      <w:r>
        <w:rPr>
          <w:b/>
          <w:sz w:val="22"/>
          <w:lang w:val="en-GB"/>
        </w:rPr>
        <w:t xml:space="preserve">GIVEN </w:t>
      </w:r>
      <w:r>
        <w:rPr>
          <w:sz w:val="22"/>
          <w:lang w:val="en-GB"/>
        </w:rPr>
        <w:t xml:space="preserve">under my hand at </w:t>
      </w:r>
    </w:p>
    <w:p w14:paraId="312AD4B1" w14:textId="77777777" w:rsidR="00275EA2" w:rsidRDefault="00275EA2" w:rsidP="00275EA2">
      <w:pPr>
        <w:tabs>
          <w:tab w:val="right" w:pos="10206"/>
        </w:tabs>
        <w:spacing w:after="120"/>
        <w:jc w:val="both"/>
        <w:rPr>
          <w:sz w:val="22"/>
          <w:lang w:val="en-GB"/>
        </w:rPr>
      </w:pPr>
      <w:r>
        <w:rPr>
          <w:sz w:val="22"/>
          <w:lang w:val="en-GB"/>
        </w:rPr>
        <w:t>Place:</w:t>
      </w:r>
    </w:p>
    <w:p w14:paraId="532E4977" w14:textId="77777777" w:rsidR="00275EA2" w:rsidRDefault="00275EA2" w:rsidP="00275EA2">
      <w:pPr>
        <w:tabs>
          <w:tab w:val="right" w:pos="10206"/>
        </w:tabs>
        <w:spacing w:after="120"/>
        <w:jc w:val="both"/>
        <w:rPr>
          <w:sz w:val="22"/>
          <w:lang w:val="en-GB"/>
        </w:rPr>
      </w:pPr>
      <w:r>
        <w:rPr>
          <w:sz w:val="22"/>
          <w:lang w:val="en-GB"/>
        </w:rPr>
        <w:t>Date:</w:t>
      </w:r>
    </w:p>
    <w:p w14:paraId="31C538CB" w14:textId="77777777" w:rsidR="00275EA2" w:rsidRDefault="00275EA2" w:rsidP="00275EA2">
      <w:pPr>
        <w:tabs>
          <w:tab w:val="right" w:pos="10206"/>
        </w:tabs>
        <w:jc w:val="right"/>
        <w:rPr>
          <w:sz w:val="22"/>
          <w:lang w:val="en-GB"/>
        </w:rPr>
      </w:pPr>
      <w:bookmarkStart w:id="243" w:name="_Hlk48136476"/>
      <w:r>
        <w:rPr>
          <w:sz w:val="22"/>
          <w:lang w:val="en-GB"/>
        </w:rPr>
        <w:t>………………………………………….</w:t>
      </w:r>
    </w:p>
    <w:p w14:paraId="7620800F" w14:textId="77777777" w:rsidR="00275EA2" w:rsidRDefault="00275EA2" w:rsidP="00275EA2">
      <w:pPr>
        <w:tabs>
          <w:tab w:val="right" w:pos="10206"/>
        </w:tabs>
        <w:jc w:val="right"/>
        <w:rPr>
          <w:sz w:val="16"/>
          <w:szCs w:val="16"/>
          <w:lang w:val="en-GB"/>
        </w:rPr>
      </w:pPr>
      <w:r>
        <w:rPr>
          <w:sz w:val="22"/>
          <w:lang w:val="en-GB"/>
        </w:rPr>
        <w:tab/>
        <w:t xml:space="preserve">   </w:t>
      </w:r>
      <w:r>
        <w:rPr>
          <w:sz w:val="16"/>
          <w:szCs w:val="16"/>
          <w:lang w:val="en-GB"/>
        </w:rPr>
        <w:t>(Signature of Justice of the Peace)</w:t>
      </w:r>
    </w:p>
    <w:p w14:paraId="57DDC81E" w14:textId="77777777" w:rsidR="00275EA2" w:rsidRDefault="00275EA2" w:rsidP="00275EA2">
      <w:pPr>
        <w:tabs>
          <w:tab w:val="right" w:pos="10206"/>
        </w:tabs>
        <w:jc w:val="right"/>
        <w:rPr>
          <w:sz w:val="22"/>
          <w:lang w:val="en-GB"/>
        </w:rPr>
      </w:pPr>
    </w:p>
    <w:p w14:paraId="72530CB9" w14:textId="77777777" w:rsidR="00275EA2" w:rsidRDefault="00275EA2" w:rsidP="00275EA2">
      <w:pPr>
        <w:tabs>
          <w:tab w:val="right" w:pos="10206"/>
        </w:tabs>
        <w:jc w:val="right"/>
        <w:rPr>
          <w:sz w:val="22"/>
          <w:lang w:val="en-GB"/>
        </w:rPr>
      </w:pPr>
      <w:r>
        <w:rPr>
          <w:sz w:val="22"/>
          <w:lang w:val="en-GB"/>
        </w:rPr>
        <w:t>………………………………………….</w:t>
      </w:r>
    </w:p>
    <w:p w14:paraId="3FF54079" w14:textId="77777777" w:rsidR="00C03B71" w:rsidRDefault="00275EA2" w:rsidP="00C03B71">
      <w:pPr>
        <w:tabs>
          <w:tab w:val="right" w:pos="10206"/>
        </w:tabs>
        <w:jc w:val="right"/>
        <w:rPr>
          <w:sz w:val="16"/>
          <w:szCs w:val="16"/>
          <w:lang w:val="en-GB"/>
        </w:rPr>
      </w:pPr>
      <w:r>
        <w:rPr>
          <w:sz w:val="16"/>
          <w:szCs w:val="16"/>
          <w:lang w:val="en-GB"/>
        </w:rPr>
        <w:t>(Name of Justice of the Peace)</w:t>
      </w:r>
      <w:bookmarkEnd w:id="243"/>
    </w:p>
    <w:p w14:paraId="0A90D8EE" w14:textId="4276FE74" w:rsidR="00275EA2" w:rsidRDefault="00275EA2" w:rsidP="00C03B71">
      <w:pPr>
        <w:tabs>
          <w:tab w:val="right" w:pos="10206"/>
        </w:tabs>
        <w:jc w:val="right"/>
        <w:rPr>
          <w:sz w:val="22"/>
          <w:lang w:val="en-GB"/>
        </w:rPr>
      </w:pPr>
      <w:r>
        <w:rPr>
          <w:sz w:val="22"/>
          <w:lang w:val="en-GB"/>
        </w:rPr>
        <w:t>_________________________________________________________________________</w:t>
      </w:r>
    </w:p>
    <w:p w14:paraId="6A0C8221" w14:textId="77777777" w:rsidR="00C03B71" w:rsidRPr="00C03B71" w:rsidRDefault="00C03B71" w:rsidP="00C03B71">
      <w:pPr>
        <w:tabs>
          <w:tab w:val="right" w:pos="10206"/>
        </w:tabs>
        <w:jc w:val="right"/>
        <w:rPr>
          <w:sz w:val="16"/>
          <w:szCs w:val="16"/>
          <w:lang w:val="en-GB"/>
        </w:rPr>
      </w:pPr>
    </w:p>
    <w:p w14:paraId="71DEC78C" w14:textId="77777777" w:rsidR="00275EA2" w:rsidRDefault="00275EA2" w:rsidP="00275EA2">
      <w:pPr>
        <w:tabs>
          <w:tab w:val="right" w:pos="10206"/>
        </w:tabs>
        <w:jc w:val="center"/>
        <w:rPr>
          <w:b/>
          <w:sz w:val="18"/>
          <w:szCs w:val="18"/>
          <w:lang w:val="en-GB"/>
        </w:rPr>
      </w:pPr>
      <w:r>
        <w:rPr>
          <w:b/>
          <w:sz w:val="18"/>
          <w:szCs w:val="18"/>
          <w:lang w:val="en-GB"/>
        </w:rPr>
        <w:lastRenderedPageBreak/>
        <w:t>OATH OF SERVICE</w:t>
      </w:r>
    </w:p>
    <w:p w14:paraId="0A9A42B2" w14:textId="77777777" w:rsidR="00275EA2" w:rsidRDefault="00275EA2" w:rsidP="00275EA2">
      <w:pPr>
        <w:spacing w:line="360" w:lineRule="auto"/>
        <w:rPr>
          <w:rFonts w:cs="Arial"/>
          <w:sz w:val="18"/>
          <w:szCs w:val="18"/>
          <w:lang w:eastAsia="en-AU"/>
        </w:rPr>
      </w:pPr>
      <w:r>
        <w:rPr>
          <w:rFonts w:cs="Arial"/>
          <w:sz w:val="18"/>
          <w:szCs w:val="18"/>
          <w:lang w:eastAsia="en-AU"/>
        </w:rPr>
        <w:t>I,</w:t>
      </w:r>
    </w:p>
    <w:p w14:paraId="5AFD4B74" w14:textId="77777777" w:rsidR="00275EA2" w:rsidRDefault="00275EA2" w:rsidP="00275EA2">
      <w:pPr>
        <w:spacing w:line="360" w:lineRule="auto"/>
        <w:rPr>
          <w:rFonts w:cs="Arial"/>
          <w:sz w:val="18"/>
          <w:szCs w:val="18"/>
          <w:lang w:eastAsia="en-AU"/>
        </w:rPr>
      </w:pPr>
      <w:r>
        <w:rPr>
          <w:rFonts w:cs="Arial"/>
          <w:sz w:val="18"/>
          <w:szCs w:val="18"/>
          <w:lang w:eastAsia="en-AU"/>
        </w:rPr>
        <w:t>of</w:t>
      </w:r>
    </w:p>
    <w:p w14:paraId="42448219" w14:textId="77777777" w:rsidR="00275EA2" w:rsidRDefault="00275EA2" w:rsidP="00275EA2">
      <w:pPr>
        <w:spacing w:line="360" w:lineRule="auto"/>
        <w:rPr>
          <w:rFonts w:cs="Arial"/>
          <w:sz w:val="18"/>
          <w:szCs w:val="18"/>
          <w:lang w:eastAsia="en-AU"/>
        </w:rPr>
      </w:pPr>
      <w:r>
        <w:rPr>
          <w:rFonts w:cs="Arial"/>
          <w:sz w:val="18"/>
          <w:szCs w:val="18"/>
          <w:lang w:eastAsia="en-AU"/>
        </w:rPr>
        <w:t xml:space="preserve">do swear that on the </w:t>
      </w:r>
      <w:r>
        <w:rPr>
          <w:rFonts w:cs="Arial"/>
          <w:sz w:val="18"/>
          <w:szCs w:val="18"/>
          <w:lang w:eastAsia="en-AU"/>
        </w:rPr>
        <w:tab/>
      </w:r>
      <w:r>
        <w:rPr>
          <w:rFonts w:cs="Arial"/>
          <w:sz w:val="18"/>
          <w:szCs w:val="18"/>
          <w:lang w:eastAsia="en-AU"/>
        </w:rPr>
        <w:tab/>
      </w:r>
      <w:r>
        <w:rPr>
          <w:rFonts w:cs="Arial"/>
          <w:sz w:val="18"/>
          <w:szCs w:val="18"/>
          <w:lang w:eastAsia="en-AU"/>
        </w:rPr>
        <w:tab/>
        <w:t>day of</w:t>
      </w:r>
      <w:r>
        <w:rPr>
          <w:rFonts w:cs="Arial"/>
          <w:sz w:val="18"/>
          <w:szCs w:val="18"/>
          <w:lang w:eastAsia="en-AU"/>
        </w:rPr>
        <w:tab/>
      </w:r>
      <w:r>
        <w:rPr>
          <w:rFonts w:cs="Arial"/>
          <w:sz w:val="18"/>
          <w:szCs w:val="18"/>
          <w:lang w:eastAsia="en-AU"/>
        </w:rPr>
        <w:tab/>
      </w:r>
      <w:r>
        <w:rPr>
          <w:rFonts w:cs="Arial"/>
          <w:sz w:val="18"/>
          <w:szCs w:val="18"/>
          <w:lang w:eastAsia="en-AU"/>
        </w:rPr>
        <w:tab/>
        <w:t xml:space="preserve">        , 202   , I served the within-named defendant with a copy of the within summons and a copy of the complaint whereon the said summons was issued by:</w:t>
      </w:r>
    </w:p>
    <w:p w14:paraId="593FD491" w14:textId="77777777" w:rsidR="00275EA2" w:rsidRDefault="00275EA2" w:rsidP="00275EA2">
      <w:pPr>
        <w:tabs>
          <w:tab w:val="left" w:pos="1134"/>
        </w:tabs>
        <w:ind w:left="720"/>
        <w:rPr>
          <w:rFonts w:cs="Arial"/>
          <w:sz w:val="18"/>
          <w:szCs w:val="18"/>
          <w:lang w:eastAsia="en-AU"/>
        </w:rPr>
      </w:pPr>
      <w:r>
        <w:rPr>
          <w:rFonts w:cs="Arial"/>
          <w:sz w:val="18"/>
          <w:szCs w:val="18"/>
          <w:lang w:eastAsia="en-AU"/>
        </w:rPr>
        <w:t xml:space="preserve">*(a) </w:t>
      </w:r>
      <w:r>
        <w:rPr>
          <w:rFonts w:cs="Arial"/>
          <w:sz w:val="18"/>
          <w:szCs w:val="18"/>
          <w:lang w:eastAsia="en-AU"/>
        </w:rPr>
        <w:tab/>
        <w:t>delivering a copy thereof to the defendant personally at:</w:t>
      </w:r>
    </w:p>
    <w:p w14:paraId="00CAB691" w14:textId="77777777" w:rsidR="00275EA2" w:rsidRDefault="00275EA2" w:rsidP="00275EA2">
      <w:pPr>
        <w:ind w:left="720"/>
        <w:rPr>
          <w:rFonts w:cs="Arial"/>
          <w:sz w:val="18"/>
          <w:szCs w:val="18"/>
          <w:lang w:eastAsia="en-AU"/>
        </w:rPr>
      </w:pPr>
    </w:p>
    <w:p w14:paraId="7BCA7DC3" w14:textId="77777777" w:rsidR="00275EA2" w:rsidRDefault="00275EA2" w:rsidP="00275EA2">
      <w:pPr>
        <w:tabs>
          <w:tab w:val="left" w:pos="1134"/>
        </w:tabs>
        <w:ind w:left="720"/>
        <w:rPr>
          <w:rFonts w:cs="Arial"/>
          <w:sz w:val="18"/>
          <w:szCs w:val="18"/>
          <w:lang w:eastAsia="en-AU"/>
        </w:rPr>
      </w:pPr>
      <w:r>
        <w:rPr>
          <w:rFonts w:cs="Arial"/>
          <w:sz w:val="18"/>
          <w:szCs w:val="18"/>
          <w:lang w:eastAsia="en-AU"/>
        </w:rPr>
        <w:t>*(b)</w:t>
      </w:r>
      <w:r>
        <w:rPr>
          <w:rFonts w:cs="Arial"/>
          <w:sz w:val="18"/>
          <w:szCs w:val="18"/>
          <w:lang w:eastAsia="en-AU"/>
        </w:rPr>
        <w:tab/>
        <w:t>leaving a copy thereof with</w:t>
      </w:r>
    </w:p>
    <w:p w14:paraId="22479EAC" w14:textId="77777777" w:rsidR="00275EA2" w:rsidRDefault="00275EA2" w:rsidP="00275EA2">
      <w:pPr>
        <w:ind w:left="890" w:firstLine="244"/>
        <w:rPr>
          <w:rFonts w:cs="Arial"/>
          <w:sz w:val="18"/>
          <w:szCs w:val="18"/>
          <w:lang w:eastAsia="en-AU"/>
        </w:rPr>
      </w:pPr>
      <w:r>
        <w:rPr>
          <w:rFonts w:cs="Arial"/>
          <w:sz w:val="18"/>
          <w:szCs w:val="18"/>
          <w:lang w:eastAsia="en-AU"/>
        </w:rPr>
        <w:t>for the defendant at</w:t>
      </w:r>
    </w:p>
    <w:p w14:paraId="309F0307" w14:textId="77777777" w:rsidR="00275EA2" w:rsidRDefault="00275EA2" w:rsidP="00275EA2">
      <w:pPr>
        <w:ind w:left="890" w:firstLine="244"/>
        <w:rPr>
          <w:rFonts w:cs="Arial"/>
          <w:sz w:val="18"/>
          <w:szCs w:val="18"/>
          <w:lang w:eastAsia="en-AU"/>
        </w:rPr>
      </w:pPr>
      <w:r>
        <w:rPr>
          <w:rFonts w:cs="Arial"/>
          <w:sz w:val="18"/>
          <w:szCs w:val="18"/>
          <w:lang w:eastAsia="en-AU"/>
        </w:rPr>
        <w:t>*the usual place of * residence</w:t>
      </w:r>
      <w:r>
        <w:rPr>
          <w:rFonts w:cs="Arial"/>
          <w:b/>
          <w:sz w:val="18"/>
          <w:szCs w:val="18"/>
          <w:lang w:eastAsia="en-AU"/>
        </w:rPr>
        <w:t>/ *</w:t>
      </w:r>
      <w:r>
        <w:rPr>
          <w:rFonts w:cs="Arial"/>
          <w:sz w:val="18"/>
          <w:szCs w:val="18"/>
          <w:lang w:eastAsia="en-AU"/>
        </w:rPr>
        <w:t xml:space="preserve">business </w:t>
      </w:r>
    </w:p>
    <w:p w14:paraId="5F43F583" w14:textId="77777777" w:rsidR="00275EA2" w:rsidRDefault="00275EA2" w:rsidP="00275EA2">
      <w:pPr>
        <w:ind w:left="890" w:firstLine="244"/>
        <w:rPr>
          <w:rFonts w:cs="Arial"/>
          <w:sz w:val="18"/>
          <w:szCs w:val="18"/>
          <w:lang w:eastAsia="en-AU"/>
        </w:rPr>
      </w:pPr>
      <w:r>
        <w:rPr>
          <w:rFonts w:cs="Arial"/>
          <w:sz w:val="18"/>
          <w:szCs w:val="18"/>
          <w:lang w:eastAsia="en-AU"/>
        </w:rPr>
        <w:t>*the place of *residence</w:t>
      </w:r>
      <w:r>
        <w:rPr>
          <w:rFonts w:cs="Arial"/>
          <w:b/>
          <w:sz w:val="18"/>
          <w:szCs w:val="18"/>
          <w:lang w:eastAsia="en-AU"/>
        </w:rPr>
        <w:t>/ *</w:t>
      </w:r>
      <w:r>
        <w:rPr>
          <w:rFonts w:cs="Arial"/>
          <w:sz w:val="18"/>
          <w:szCs w:val="18"/>
          <w:lang w:eastAsia="en-AU"/>
        </w:rPr>
        <w:t>business last known to me</w:t>
      </w:r>
    </w:p>
    <w:p w14:paraId="4D2E97DA" w14:textId="77777777" w:rsidR="00275EA2" w:rsidRDefault="00275EA2" w:rsidP="00275EA2">
      <w:pPr>
        <w:ind w:left="720" w:firstLine="414"/>
        <w:rPr>
          <w:rFonts w:cs="Arial"/>
          <w:sz w:val="18"/>
          <w:szCs w:val="18"/>
          <w:lang w:eastAsia="en-AU"/>
        </w:rPr>
      </w:pPr>
      <w:r>
        <w:rPr>
          <w:rFonts w:cs="Arial"/>
          <w:sz w:val="18"/>
          <w:szCs w:val="18"/>
          <w:lang w:eastAsia="en-AU"/>
        </w:rPr>
        <w:t>of the defendant who could not reasonably be found.</w:t>
      </w:r>
    </w:p>
    <w:p w14:paraId="0F846A4E" w14:textId="77777777" w:rsidR="00275EA2" w:rsidRDefault="00275EA2" w:rsidP="00275EA2">
      <w:pPr>
        <w:rPr>
          <w:rFonts w:cs="Arial"/>
          <w:sz w:val="18"/>
          <w:szCs w:val="18"/>
          <w:lang w:eastAsia="en-AU"/>
        </w:rPr>
      </w:pPr>
    </w:p>
    <w:p w14:paraId="65EED939" w14:textId="77777777" w:rsidR="00275EA2" w:rsidRDefault="00275EA2" w:rsidP="00275EA2">
      <w:pPr>
        <w:rPr>
          <w:rFonts w:cs="Arial"/>
          <w:sz w:val="18"/>
          <w:szCs w:val="18"/>
          <w:lang w:eastAsia="en-AU"/>
        </w:rPr>
      </w:pPr>
      <w:r>
        <w:rPr>
          <w:rFonts w:cs="Arial"/>
          <w:sz w:val="18"/>
          <w:szCs w:val="18"/>
          <w:lang w:eastAsia="en-AU"/>
        </w:rPr>
        <w:t>Signed and *sworn/affirmed by the said deponent at                                this                         day of                                  , 202   .</w:t>
      </w:r>
    </w:p>
    <w:p w14:paraId="171043F7" w14:textId="77777777" w:rsidR="00275EA2" w:rsidRDefault="00275EA2" w:rsidP="00275EA2">
      <w:pPr>
        <w:rPr>
          <w:rFonts w:cs="Arial"/>
          <w:sz w:val="18"/>
          <w:szCs w:val="18"/>
          <w:lang w:eastAsia="en-AU"/>
        </w:rPr>
      </w:pPr>
    </w:p>
    <w:p w14:paraId="660C0F8E" w14:textId="77777777" w:rsidR="00275EA2" w:rsidRDefault="00275EA2" w:rsidP="00275EA2">
      <w:pPr>
        <w:rPr>
          <w:rFonts w:cs="Arial"/>
          <w:sz w:val="18"/>
          <w:szCs w:val="18"/>
          <w:lang w:eastAsia="en-AU"/>
        </w:rPr>
      </w:pPr>
    </w:p>
    <w:p w14:paraId="77BD9698" w14:textId="77777777" w:rsidR="00275EA2" w:rsidRDefault="00275EA2" w:rsidP="00275EA2">
      <w:pPr>
        <w:rPr>
          <w:rFonts w:cs="Arial"/>
          <w:sz w:val="18"/>
          <w:szCs w:val="18"/>
          <w:lang w:eastAsia="en-AU"/>
        </w:rPr>
      </w:pPr>
      <w:r>
        <w:rPr>
          <w:rFonts w:cs="Arial"/>
          <w:sz w:val="18"/>
          <w:szCs w:val="18"/>
          <w:lang w:eastAsia="en-AU"/>
        </w:rPr>
        <w:t>…………………………………</w:t>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t>…………………………………</w:t>
      </w:r>
    </w:p>
    <w:p w14:paraId="3F474785" w14:textId="77777777" w:rsidR="00275EA2" w:rsidRDefault="00275EA2" w:rsidP="00275EA2">
      <w:pPr>
        <w:spacing w:after="120"/>
        <w:rPr>
          <w:rFonts w:cs="Arial"/>
          <w:sz w:val="18"/>
          <w:szCs w:val="18"/>
          <w:lang w:eastAsia="en-AU"/>
        </w:rPr>
      </w:pPr>
      <w:r>
        <w:rPr>
          <w:rFonts w:cs="Arial"/>
          <w:sz w:val="18"/>
          <w:szCs w:val="18"/>
          <w:lang w:eastAsia="en-AU"/>
        </w:rPr>
        <w:t>Deponent</w:t>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r>
      <w:r>
        <w:rPr>
          <w:rFonts w:cs="Arial"/>
          <w:sz w:val="18"/>
          <w:szCs w:val="18"/>
          <w:lang w:eastAsia="en-AU"/>
        </w:rPr>
        <w:tab/>
        <w:t>Justice of the Peace</w:t>
      </w:r>
    </w:p>
    <w:p w14:paraId="2C8F8E5D" w14:textId="77777777" w:rsidR="00275EA2" w:rsidRDefault="00275EA2" w:rsidP="00275EA2">
      <w:pPr>
        <w:tabs>
          <w:tab w:val="right" w:pos="10206"/>
        </w:tabs>
        <w:jc w:val="both"/>
        <w:rPr>
          <w:rFonts w:cs="Arial"/>
          <w:sz w:val="18"/>
          <w:szCs w:val="18"/>
          <w:lang w:val="en-GB"/>
        </w:rPr>
      </w:pPr>
      <w:r>
        <w:rPr>
          <w:rFonts w:cs="Arial"/>
          <w:sz w:val="18"/>
          <w:szCs w:val="18"/>
          <w:lang w:val="en-GB"/>
        </w:rPr>
        <w:t>* Delete whichever is not applicable</w:t>
      </w:r>
    </w:p>
    <w:p w14:paraId="3C6E0551" w14:textId="595E8C9C" w:rsidR="007D0CC2" w:rsidRDefault="007D0CC2">
      <w:pPr>
        <w:rPr>
          <w:rFonts w:cs="Arial"/>
        </w:rPr>
      </w:pPr>
    </w:p>
    <w:p w14:paraId="1B45281F" w14:textId="1E9E138F" w:rsidR="00F42BC7" w:rsidRDefault="00F42BC7">
      <w:pPr>
        <w:rPr>
          <w:rFonts w:cs="Arial"/>
        </w:rPr>
      </w:pPr>
    </w:p>
    <w:p w14:paraId="31610A39" w14:textId="12B86414" w:rsidR="00275EA2" w:rsidRDefault="00275EA2">
      <w:pPr>
        <w:rPr>
          <w:rFonts w:cs="Arial"/>
        </w:rPr>
      </w:pPr>
    </w:p>
    <w:p w14:paraId="46E41C65" w14:textId="38223352" w:rsidR="00C03B71" w:rsidRDefault="00C03B71">
      <w:pPr>
        <w:rPr>
          <w:rFonts w:cs="Arial"/>
        </w:rPr>
      </w:pPr>
    </w:p>
    <w:p w14:paraId="1317A875" w14:textId="0DA657EA" w:rsidR="00C03B71" w:rsidRDefault="00C03B71">
      <w:pPr>
        <w:rPr>
          <w:rFonts w:cs="Arial"/>
        </w:rPr>
      </w:pPr>
    </w:p>
    <w:p w14:paraId="41876374" w14:textId="01FF42DE" w:rsidR="00C03B71" w:rsidRDefault="00C03B71">
      <w:pPr>
        <w:rPr>
          <w:rFonts w:cs="Arial"/>
        </w:rPr>
      </w:pPr>
    </w:p>
    <w:p w14:paraId="38B4FD70" w14:textId="126B93C6" w:rsidR="00C03B71" w:rsidRDefault="00C03B71">
      <w:pPr>
        <w:rPr>
          <w:rFonts w:cs="Arial"/>
        </w:rPr>
      </w:pPr>
    </w:p>
    <w:p w14:paraId="4410D47E" w14:textId="54B4BD24" w:rsidR="00C03B71" w:rsidRDefault="00C03B71">
      <w:pPr>
        <w:rPr>
          <w:rFonts w:cs="Arial"/>
        </w:rPr>
      </w:pPr>
    </w:p>
    <w:p w14:paraId="34C8DFFA" w14:textId="0EFAF83A" w:rsidR="00C03B71" w:rsidRDefault="00C03B71">
      <w:pPr>
        <w:rPr>
          <w:rFonts w:cs="Arial"/>
        </w:rPr>
      </w:pPr>
    </w:p>
    <w:p w14:paraId="4D118E14" w14:textId="77777777" w:rsidR="00C03B71" w:rsidRDefault="00C03B71">
      <w:pPr>
        <w:rPr>
          <w:rFonts w:cs="Arial"/>
        </w:rPr>
      </w:pPr>
    </w:p>
    <w:p w14:paraId="10F84AFA" w14:textId="206125B3" w:rsidR="00C03B71" w:rsidRDefault="00C03B71">
      <w:pPr>
        <w:rPr>
          <w:rFonts w:cs="Arial"/>
        </w:rPr>
      </w:pPr>
    </w:p>
    <w:p w14:paraId="49F00571" w14:textId="180D897C" w:rsidR="00C03B71" w:rsidRDefault="00C03B71">
      <w:pPr>
        <w:rPr>
          <w:rFonts w:cs="Arial"/>
        </w:rPr>
      </w:pPr>
    </w:p>
    <w:p w14:paraId="5A600DD2" w14:textId="77777777" w:rsidR="00C03B71" w:rsidRDefault="00C03B71">
      <w:pPr>
        <w:rPr>
          <w:rFonts w:cs="Arial"/>
        </w:rPr>
      </w:pPr>
    </w:p>
    <w:p w14:paraId="7F2990D4" w14:textId="78A612AB" w:rsidR="00275EA2" w:rsidRDefault="00275EA2">
      <w:pPr>
        <w:rPr>
          <w:rFonts w:cs="Arial"/>
        </w:rPr>
      </w:pPr>
    </w:p>
    <w:p w14:paraId="490906C2"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lastRenderedPageBreak/>
        <w:t>Form 1</w:t>
      </w:r>
    </w:p>
    <w:p w14:paraId="7A550987"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QUEENSLAND</w:t>
      </w:r>
    </w:p>
    <w:p w14:paraId="2B5B8411"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ACT 1982</w:t>
      </w:r>
    </w:p>
    <w:p w14:paraId="70E65C1C"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(Sections 5 and 99)</w:t>
      </w:r>
    </w:p>
    <w:p w14:paraId="50689981"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lang w:val="en-GB"/>
        </w:rPr>
      </w:pPr>
      <w:r>
        <w:rPr>
          <w:sz w:val="16"/>
          <w:lang w:val="en-GB"/>
        </w:rPr>
        <w:t>PEACE AND GOOD BEHAVIOUR REGULATION 2020</w:t>
      </w:r>
    </w:p>
    <w:p w14:paraId="57D5C31A"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16"/>
          <w:szCs w:val="16"/>
          <w:lang w:val="en-GB"/>
        </w:rPr>
      </w:pPr>
      <w:r>
        <w:rPr>
          <w:sz w:val="16"/>
          <w:szCs w:val="16"/>
          <w:lang w:val="en-GB"/>
        </w:rPr>
        <w:t>(Section 8)</w:t>
      </w:r>
    </w:p>
    <w:p w14:paraId="3EAAA319"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center"/>
        <w:rPr>
          <w:sz w:val="20"/>
          <w:szCs w:val="20"/>
          <w:lang w:val="en-GB"/>
        </w:rPr>
      </w:pPr>
    </w:p>
    <w:p w14:paraId="333FCA14" w14:textId="77777777" w:rsidR="00275EA2" w:rsidRDefault="00275EA2" w:rsidP="00275EA2">
      <w:pPr>
        <w:pStyle w:val="Heading2"/>
        <w:rPr>
          <w:sz w:val="22"/>
          <w:szCs w:val="22"/>
          <w:lang w:val="en-GB"/>
        </w:rPr>
      </w:pPr>
      <w:r>
        <w:rPr>
          <w:sz w:val="22"/>
          <w:szCs w:val="22"/>
        </w:rPr>
        <w:t>COMPLAINT</w:t>
      </w:r>
    </w:p>
    <w:p w14:paraId="31382C7F" w14:textId="7163EFE5" w:rsidR="00275EA2" w:rsidRDefault="00275EA2" w:rsidP="00275EA2">
      <w:pPr>
        <w:tabs>
          <w:tab w:val="right" w:pos="10206"/>
        </w:tabs>
        <w:spacing w:line="400" w:lineRule="exact"/>
        <w:rPr>
          <w:smallCaps/>
          <w:sz w:val="22"/>
          <w:lang w:val="en-GB"/>
        </w:rPr>
      </w:pPr>
      <w:r>
        <w:rPr>
          <w:smallCaps/>
          <w:sz w:val="22"/>
          <w:lang w:val="en-GB"/>
        </w:rPr>
        <w:t>I, __________________________________________________________</w:t>
      </w:r>
      <w:r>
        <w:rPr>
          <w:sz w:val="22"/>
          <w:lang w:val="en-GB"/>
        </w:rPr>
        <w:t>(the complainant)</w:t>
      </w:r>
    </w:p>
    <w:p w14:paraId="530FC5B3" w14:textId="351E302F" w:rsidR="00275EA2" w:rsidRDefault="00275EA2" w:rsidP="00275EA2">
      <w:pPr>
        <w:tabs>
          <w:tab w:val="right" w:pos="10206"/>
        </w:tabs>
        <w:spacing w:line="400" w:lineRule="exact"/>
        <w:rPr>
          <w:sz w:val="22"/>
          <w:lang w:val="en-GB"/>
        </w:rPr>
      </w:pPr>
      <w:r>
        <w:rPr>
          <w:sz w:val="22"/>
          <w:lang w:val="en-GB"/>
        </w:rPr>
        <w:t>of _________________________________________________ in the State of Queensland</w:t>
      </w:r>
    </w:p>
    <w:p w14:paraId="1F203B65" w14:textId="2A97C219" w:rsidR="00275EA2" w:rsidRDefault="00275EA2" w:rsidP="00275EA2">
      <w:pPr>
        <w:tabs>
          <w:tab w:val="right" w:pos="10206"/>
        </w:tabs>
        <w:spacing w:line="400" w:lineRule="exact"/>
        <w:rPr>
          <w:sz w:val="22"/>
          <w:lang w:val="en-GB"/>
        </w:rPr>
      </w:pPr>
      <w:r>
        <w:rPr>
          <w:sz w:val="22"/>
          <w:lang w:val="en-GB"/>
        </w:rPr>
        <w:t>swear/affirm</w:t>
      </w:r>
      <w:r>
        <w:rPr>
          <w:b/>
          <w:smallCaps/>
          <w:sz w:val="22"/>
          <w:lang w:val="en-GB"/>
        </w:rPr>
        <w:t xml:space="preserve"> </w:t>
      </w:r>
      <w:r>
        <w:rPr>
          <w:sz w:val="22"/>
          <w:lang w:val="en-GB"/>
        </w:rPr>
        <w:t>that ______________________of</w:t>
      </w:r>
      <w:r>
        <w:rPr>
          <w:sz w:val="22"/>
          <w:lang w:val="en-GB"/>
        </w:rPr>
        <w:tab/>
        <w:t>____________________________________</w:t>
      </w:r>
    </w:p>
    <w:p w14:paraId="32936397" w14:textId="77777777" w:rsidR="00275EA2" w:rsidRDefault="00275EA2" w:rsidP="00275EA2">
      <w:pPr>
        <w:widowControl w:val="0"/>
        <w:numPr>
          <w:ilvl w:val="0"/>
          <w:numId w:val="65"/>
        </w:numPr>
        <w:tabs>
          <w:tab w:val="right" w:pos="10033"/>
        </w:tabs>
        <w:snapToGrid w:val="0"/>
        <w:spacing w:after="0" w:line="400" w:lineRule="exact"/>
        <w:ind w:left="437" w:hanging="437"/>
        <w:rPr>
          <w:b/>
          <w:sz w:val="22"/>
          <w:lang w:val="en-GB"/>
        </w:rPr>
      </w:pPr>
      <w:r>
        <w:rPr>
          <w:b/>
          <w:sz w:val="22"/>
          <w:lang w:val="en-GB"/>
        </w:rPr>
        <w:t>has threatened:</w:t>
      </w:r>
    </w:p>
    <w:p w14:paraId="5B605FC9" w14:textId="77777777" w:rsidR="00275EA2" w:rsidRDefault="00275EA2" w:rsidP="00275EA2">
      <w:pPr>
        <w:pStyle w:val="BodyText"/>
        <w:numPr>
          <w:ilvl w:val="0"/>
          <w:numId w:val="66"/>
        </w:numPr>
        <w:tabs>
          <w:tab w:val="left" w:pos="432"/>
          <w:tab w:val="right" w:pos="10033"/>
        </w:tabs>
        <w:autoSpaceDE/>
        <w:autoSpaceDN/>
        <w:snapToGrid w:val="0"/>
        <w:spacing w:line="300" w:lineRule="exact"/>
        <w:ind w:left="857" w:hanging="437"/>
        <w:rPr>
          <w:sz w:val="22"/>
          <w:szCs w:val="22"/>
          <w:lang w:val="en-GB"/>
        </w:rPr>
      </w:pPr>
      <w:r>
        <w:rPr>
          <w:sz w:val="22"/>
          <w:szCs w:val="22"/>
        </w:rPr>
        <w:t>to assault or to do any bodily injury to the complainant or to any person under the care or charge of the complainant</w:t>
      </w:r>
    </w:p>
    <w:p w14:paraId="1B478A3F" w14:textId="77777777" w:rsidR="00275EA2" w:rsidRDefault="00275EA2" w:rsidP="00275EA2">
      <w:pPr>
        <w:pStyle w:val="BodyText"/>
        <w:numPr>
          <w:ilvl w:val="0"/>
          <w:numId w:val="66"/>
        </w:numPr>
        <w:tabs>
          <w:tab w:val="clear" w:pos="855"/>
          <w:tab w:val="left" w:pos="432"/>
          <w:tab w:val="left" w:pos="851"/>
          <w:tab w:val="right" w:pos="10033"/>
        </w:tabs>
        <w:autoSpaceDE/>
        <w:autoSpaceDN/>
        <w:snapToGrid w:val="0"/>
        <w:spacing w:line="300" w:lineRule="exact"/>
        <w:rPr>
          <w:sz w:val="22"/>
          <w:szCs w:val="22"/>
        </w:rPr>
      </w:pPr>
      <w:r>
        <w:rPr>
          <w:sz w:val="22"/>
          <w:szCs w:val="22"/>
        </w:rPr>
        <w:t>to procure any other person to assault or to do any bodily injury to the complainant or to any person under the care or charge of the complainant</w:t>
      </w:r>
    </w:p>
    <w:p w14:paraId="228F5FC4" w14:textId="77777777" w:rsidR="00275EA2" w:rsidRDefault="00275EA2" w:rsidP="00275EA2">
      <w:pPr>
        <w:pStyle w:val="BodyText"/>
        <w:numPr>
          <w:ilvl w:val="0"/>
          <w:numId w:val="66"/>
        </w:numPr>
        <w:tabs>
          <w:tab w:val="clear" w:pos="855"/>
          <w:tab w:val="left" w:pos="432"/>
          <w:tab w:val="left" w:pos="851"/>
          <w:tab w:val="right" w:pos="10033"/>
        </w:tabs>
        <w:autoSpaceDE/>
        <w:autoSpaceDN/>
        <w:snapToGrid w:val="0"/>
        <w:spacing w:line="300" w:lineRule="exact"/>
        <w:rPr>
          <w:sz w:val="22"/>
          <w:szCs w:val="22"/>
        </w:rPr>
      </w:pPr>
      <w:r>
        <w:rPr>
          <w:sz w:val="22"/>
          <w:szCs w:val="22"/>
        </w:rPr>
        <w:t>to destroy or damage any property of the complainant</w:t>
      </w:r>
    </w:p>
    <w:p w14:paraId="7159A39D" w14:textId="77777777" w:rsidR="00275EA2" w:rsidRDefault="00275EA2" w:rsidP="00275EA2">
      <w:pPr>
        <w:pStyle w:val="BodyText"/>
        <w:numPr>
          <w:ilvl w:val="0"/>
          <w:numId w:val="66"/>
        </w:numPr>
        <w:tabs>
          <w:tab w:val="clear" w:pos="855"/>
          <w:tab w:val="left" w:pos="432"/>
          <w:tab w:val="left" w:pos="851"/>
          <w:tab w:val="right" w:pos="10206"/>
        </w:tabs>
        <w:autoSpaceDE/>
        <w:autoSpaceDN/>
        <w:snapToGrid w:val="0"/>
        <w:spacing w:after="120" w:line="300" w:lineRule="exact"/>
        <w:ind w:left="857" w:hanging="437"/>
        <w:rPr>
          <w:sz w:val="22"/>
          <w:szCs w:val="22"/>
        </w:rPr>
      </w:pPr>
      <w:r>
        <w:rPr>
          <w:sz w:val="22"/>
          <w:szCs w:val="22"/>
        </w:rPr>
        <w:t>to procure any other person to destroy or damage any property of the complainant</w:t>
      </w:r>
    </w:p>
    <w:p w14:paraId="16E6ADD5" w14:textId="77777777" w:rsidR="00275EA2" w:rsidRDefault="00275EA2" w:rsidP="00275EA2">
      <w:pPr>
        <w:pStyle w:val="BodyText"/>
        <w:tabs>
          <w:tab w:val="left" w:pos="0"/>
          <w:tab w:val="right" w:pos="10206"/>
        </w:tabs>
        <w:spacing w:after="120" w:line="300" w:lineRule="exact"/>
        <w:rPr>
          <w:sz w:val="22"/>
          <w:szCs w:val="22"/>
        </w:rPr>
      </w:pPr>
      <w:r>
        <w:rPr>
          <w:sz w:val="22"/>
          <w:szCs w:val="22"/>
        </w:rPr>
        <w:t>and the complainant is in fear of the person complained against, namely</w:t>
      </w:r>
      <w:r>
        <w:rPr>
          <w:sz w:val="22"/>
          <w:szCs w:val="22"/>
        </w:rPr>
        <w:tab/>
        <w:t>_____________________________</w:t>
      </w:r>
    </w:p>
    <w:p w14:paraId="2AA77828" w14:textId="77777777" w:rsidR="00275EA2" w:rsidRDefault="00275EA2" w:rsidP="00275EA2">
      <w:pPr>
        <w:pStyle w:val="Heading1"/>
        <w:spacing w:after="120" w:line="300" w:lineRule="exact"/>
        <w:rPr>
          <w:sz w:val="22"/>
          <w:szCs w:val="22"/>
        </w:rPr>
      </w:pPr>
      <w:r>
        <w:rPr>
          <w:sz w:val="22"/>
          <w:szCs w:val="22"/>
        </w:rPr>
        <w:t>OR</w:t>
      </w:r>
    </w:p>
    <w:p w14:paraId="75B95DB6" w14:textId="77777777" w:rsidR="00275EA2" w:rsidRDefault="00275EA2" w:rsidP="00275EA2">
      <w:pPr>
        <w:pStyle w:val="BodyText2"/>
        <w:widowControl w:val="0"/>
        <w:numPr>
          <w:ilvl w:val="0"/>
          <w:numId w:val="65"/>
        </w:numPr>
        <w:tabs>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napToGrid w:val="0"/>
        <w:spacing w:after="0" w:line="300" w:lineRule="exact"/>
        <w:rPr>
          <w:sz w:val="22"/>
        </w:rPr>
      </w:pPr>
      <w:r>
        <w:rPr>
          <w:b/>
          <w:sz w:val="22"/>
        </w:rPr>
        <w:t xml:space="preserve">that the intentional conduct of                                   (the defendant) </w:t>
      </w:r>
      <w:r>
        <w:rPr>
          <w:sz w:val="22"/>
        </w:rPr>
        <w:t>directed at the complainant has caused the complainant to fear that the defendant will destroy or damage any property of the complainant.</w:t>
      </w:r>
      <w:r>
        <w:rPr>
          <w:b/>
          <w:sz w:val="22"/>
        </w:rPr>
        <w:t xml:space="preserve"> </w:t>
      </w:r>
    </w:p>
    <w:p w14:paraId="634CFE62"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both"/>
        <w:rPr>
          <w:sz w:val="22"/>
          <w:lang w:val="en-GB"/>
        </w:rPr>
      </w:pPr>
      <w:r>
        <w:rPr>
          <w:sz w:val="22"/>
          <w:lang w:val="en-GB"/>
        </w:rPr>
        <w:t>The facts of the complaint are:</w:t>
      </w:r>
    </w:p>
    <w:p w14:paraId="5FAC82D6" w14:textId="445C1D57" w:rsidR="00275EA2" w:rsidRDefault="00275EA2" w:rsidP="00C03B71">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78243444" w14:textId="1CDE7C7B"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1FF5FD75" w14:textId="1E5A476A"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3B092295" w14:textId="087260FD"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688086FE"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t>………………………………………………………………………………………………………………………………………………………………………………………………………………………….</w:t>
      </w:r>
    </w:p>
    <w:p w14:paraId="25C7A87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jc w:val="center"/>
        <w:rPr>
          <w:sz w:val="22"/>
          <w:lang w:val="en-GB"/>
        </w:rPr>
      </w:pPr>
      <w:r>
        <w:rPr>
          <w:sz w:val="22"/>
          <w:lang w:val="en-GB"/>
        </w:rPr>
        <w:lastRenderedPageBreak/>
        <w:t>………………………………………………………………………………………………………………………………………………………………………………………………………………………….</w:t>
      </w:r>
    </w:p>
    <w:p w14:paraId="77960603" w14:textId="15C0CE4E"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60" w:lineRule="exact"/>
        <w:rPr>
          <w:sz w:val="22"/>
          <w:lang w:val="en-GB"/>
        </w:rPr>
      </w:pPr>
      <w:r>
        <w:rPr>
          <w:sz w:val="22"/>
          <w:lang w:val="en-GB"/>
        </w:rPr>
        <w:t>I, _______________________________________________________ (the complainant) request that___________________________________(name of Justice of the Peace) proceed according to law.</w:t>
      </w:r>
    </w:p>
    <w:p w14:paraId="517190CF"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right"/>
        <w:rPr>
          <w:sz w:val="22"/>
          <w:lang w:val="en-GB"/>
        </w:rPr>
      </w:pPr>
    </w:p>
    <w:p w14:paraId="0CCD287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right"/>
        <w:rPr>
          <w:sz w:val="22"/>
          <w:lang w:val="en-GB"/>
        </w:rPr>
      </w:pPr>
      <w:r>
        <w:rPr>
          <w:sz w:val="22"/>
          <w:lang w:val="en-GB"/>
        </w:rPr>
        <w:t>…………………………………….</w:t>
      </w:r>
    </w:p>
    <w:p w14:paraId="35956FB0" w14:textId="77777777" w:rsidR="00275EA2" w:rsidRDefault="00275EA2" w:rsidP="00275EA2">
      <w:pPr>
        <w:tabs>
          <w:tab w:val="right" w:pos="10206"/>
        </w:tabs>
        <w:jc w:val="both"/>
        <w:rPr>
          <w:sz w:val="20"/>
          <w:szCs w:val="20"/>
          <w:lang w:val="en-GB"/>
        </w:rPr>
      </w:pPr>
      <w:r>
        <w:rPr>
          <w:sz w:val="22"/>
          <w:lang w:val="en-GB"/>
        </w:rPr>
        <w:tab/>
      </w:r>
      <w:r>
        <w:rPr>
          <w:sz w:val="20"/>
          <w:lang w:val="en-GB"/>
        </w:rPr>
        <w:t>(Signature of the complainant)</w:t>
      </w:r>
    </w:p>
    <w:p w14:paraId="40EA7759" w14:textId="77777777" w:rsidR="00275EA2" w:rsidRDefault="00275EA2" w:rsidP="00275EA2">
      <w:pPr>
        <w:tabs>
          <w:tab w:val="right" w:pos="10206"/>
        </w:tabs>
        <w:spacing w:line="400" w:lineRule="exact"/>
        <w:jc w:val="both"/>
        <w:rPr>
          <w:sz w:val="22"/>
          <w:lang w:val="en-GB"/>
        </w:rPr>
      </w:pPr>
    </w:p>
    <w:p w14:paraId="7DF164F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400" w:lineRule="exact"/>
        <w:jc w:val="both"/>
        <w:rPr>
          <w:sz w:val="22"/>
          <w:lang w:val="en-GB"/>
        </w:rPr>
      </w:pPr>
      <w:r>
        <w:rPr>
          <w:b/>
          <w:smallCaps/>
          <w:sz w:val="22"/>
          <w:lang w:val="en-GB"/>
        </w:rPr>
        <w:t>Sworn/Affirmed</w:t>
      </w:r>
      <w:r>
        <w:rPr>
          <w:smallCaps/>
          <w:sz w:val="22"/>
          <w:lang w:val="en-GB"/>
        </w:rPr>
        <w:t xml:space="preserve"> </w:t>
      </w:r>
      <w:r>
        <w:rPr>
          <w:sz w:val="22"/>
          <w:lang w:val="en-GB"/>
        </w:rPr>
        <w:t xml:space="preserve">before me at                           in the State of Queensland on the       day of </w:t>
      </w:r>
      <w:r>
        <w:rPr>
          <w:sz w:val="22"/>
          <w:lang w:val="en-GB"/>
        </w:rPr>
        <w:tab/>
        <w:t xml:space="preserve">   .</w:t>
      </w:r>
    </w:p>
    <w:p w14:paraId="30BAB364"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33" w:lineRule="auto"/>
        <w:jc w:val="both"/>
        <w:rPr>
          <w:sz w:val="22"/>
          <w:lang w:val="en-GB"/>
        </w:rPr>
      </w:pPr>
    </w:p>
    <w:p w14:paraId="0580D993" w14:textId="77777777" w:rsidR="00275EA2" w:rsidRDefault="00275EA2" w:rsidP="00275EA2">
      <w:pPr>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pacing w:line="333" w:lineRule="auto"/>
        <w:jc w:val="right"/>
        <w:rPr>
          <w:sz w:val="22"/>
          <w:lang w:val="en-GB"/>
        </w:rPr>
      </w:pPr>
      <w:r>
        <w:rPr>
          <w:sz w:val="22"/>
          <w:lang w:val="en-GB"/>
        </w:rPr>
        <w:t>…………………………………………………..</w:t>
      </w:r>
    </w:p>
    <w:p w14:paraId="3B279280" w14:textId="77777777" w:rsidR="00275EA2" w:rsidRDefault="00275EA2" w:rsidP="00275EA2">
      <w:pPr>
        <w:tabs>
          <w:tab w:val="right" w:pos="10206"/>
        </w:tabs>
        <w:jc w:val="both"/>
        <w:rPr>
          <w:sz w:val="20"/>
          <w:szCs w:val="20"/>
          <w:lang w:val="en-GB"/>
        </w:rPr>
      </w:pPr>
      <w:r>
        <w:rPr>
          <w:sz w:val="22"/>
          <w:lang w:val="en-GB"/>
        </w:rPr>
        <w:tab/>
      </w:r>
      <w:r>
        <w:rPr>
          <w:sz w:val="20"/>
          <w:lang w:val="en-GB"/>
        </w:rPr>
        <w:t>(Signature of Justice of the Peace)</w:t>
      </w:r>
    </w:p>
    <w:p w14:paraId="782C17E1" w14:textId="77777777" w:rsidR="00275EA2" w:rsidRDefault="00275EA2" w:rsidP="00275EA2">
      <w:pPr>
        <w:tabs>
          <w:tab w:val="right" w:pos="10206"/>
        </w:tabs>
        <w:jc w:val="right"/>
        <w:rPr>
          <w:sz w:val="22"/>
          <w:lang w:val="en-GB"/>
        </w:rPr>
      </w:pPr>
    </w:p>
    <w:p w14:paraId="4E9D1BB5" w14:textId="041C5B9C" w:rsidR="00275EA2" w:rsidRDefault="00275EA2" w:rsidP="00275EA2">
      <w:pPr>
        <w:tabs>
          <w:tab w:val="right" w:pos="10206"/>
        </w:tabs>
        <w:jc w:val="right"/>
        <w:rPr>
          <w:sz w:val="22"/>
          <w:lang w:val="en-GB"/>
        </w:rPr>
      </w:pPr>
    </w:p>
    <w:p w14:paraId="7C3CCA17" w14:textId="6DB7C45E" w:rsidR="00275EA2" w:rsidRDefault="00275EA2" w:rsidP="00275EA2">
      <w:pPr>
        <w:tabs>
          <w:tab w:val="right" w:pos="10206"/>
        </w:tabs>
        <w:jc w:val="right"/>
        <w:rPr>
          <w:sz w:val="22"/>
          <w:lang w:val="en-GB"/>
        </w:rPr>
      </w:pPr>
      <w:r>
        <w:rPr>
          <w:sz w:val="22"/>
          <w:lang w:val="en-GB"/>
        </w:rPr>
        <w:t>………………………………………….</w:t>
      </w:r>
    </w:p>
    <w:p w14:paraId="4321BE4E" w14:textId="772DEF02" w:rsidR="00275EA2" w:rsidRDefault="00275EA2" w:rsidP="00275EA2">
      <w:pPr>
        <w:tabs>
          <w:tab w:val="right" w:pos="10206"/>
        </w:tabs>
        <w:jc w:val="right"/>
        <w:rPr>
          <w:sz w:val="20"/>
          <w:lang w:val="en-GB"/>
        </w:rPr>
      </w:pPr>
      <w:r>
        <w:rPr>
          <w:sz w:val="20"/>
          <w:lang w:val="en-GB"/>
        </w:rPr>
        <w:t>(Name of Justice of the Peace)</w:t>
      </w:r>
    </w:p>
    <w:p w14:paraId="313FE614" w14:textId="25D3BB95" w:rsidR="00C03B71" w:rsidRDefault="00C03B71" w:rsidP="00275EA2">
      <w:pPr>
        <w:tabs>
          <w:tab w:val="right" w:pos="10206"/>
        </w:tabs>
        <w:jc w:val="right"/>
        <w:rPr>
          <w:sz w:val="20"/>
          <w:lang w:val="en-GB"/>
        </w:rPr>
      </w:pPr>
    </w:p>
    <w:p w14:paraId="3B614FB9" w14:textId="1F3C4659" w:rsidR="00C03B71" w:rsidRDefault="00C03B71" w:rsidP="00275EA2">
      <w:pPr>
        <w:tabs>
          <w:tab w:val="right" w:pos="10206"/>
        </w:tabs>
        <w:jc w:val="right"/>
        <w:rPr>
          <w:sz w:val="20"/>
          <w:lang w:val="en-GB"/>
        </w:rPr>
      </w:pPr>
    </w:p>
    <w:p w14:paraId="66638B83" w14:textId="0EBE3873" w:rsidR="00C03B71" w:rsidRDefault="00C03B71" w:rsidP="00275EA2">
      <w:pPr>
        <w:tabs>
          <w:tab w:val="right" w:pos="10206"/>
        </w:tabs>
        <w:jc w:val="right"/>
        <w:rPr>
          <w:sz w:val="22"/>
          <w:lang w:val="en-GB"/>
        </w:rPr>
      </w:pPr>
    </w:p>
    <w:p w14:paraId="16271B7E" w14:textId="703DE83C" w:rsidR="00275EA2" w:rsidRDefault="00275EA2">
      <w:pPr>
        <w:rPr>
          <w:rFonts w:cs="Arial"/>
        </w:rPr>
      </w:pPr>
    </w:p>
    <w:p w14:paraId="0A9EC426" w14:textId="7A8BBC06" w:rsidR="00B85ECC" w:rsidRPr="00B97BE8" w:rsidRDefault="00B85ECC" w:rsidP="00B97BE8">
      <w:pPr>
        <w:jc w:val="right"/>
        <w:rPr>
          <w:rFonts w:cs="Arial"/>
          <w:b/>
          <w:bCs/>
        </w:rPr>
      </w:pPr>
      <w:r w:rsidRPr="00B97BE8">
        <w:rPr>
          <w:rFonts w:cs="Arial"/>
          <w:b/>
          <w:bCs/>
        </w:rPr>
        <w:t>Compiled by Dr Izak Labuschagne</w:t>
      </w:r>
    </w:p>
    <w:p w14:paraId="1F244924" w14:textId="1D685357" w:rsidR="00B97BE8" w:rsidRDefault="00B85ECC" w:rsidP="00B97BE8">
      <w:pPr>
        <w:jc w:val="right"/>
        <w:rPr>
          <w:rFonts w:cs="Arial"/>
        </w:rPr>
      </w:pPr>
      <w:r>
        <w:rPr>
          <w:rFonts w:cs="Arial"/>
        </w:rPr>
        <w:t>Please conduct your due diligence of the author at</w:t>
      </w:r>
    </w:p>
    <w:p w14:paraId="3499C127" w14:textId="383729BF" w:rsidR="00C96038" w:rsidRPr="00B61373" w:rsidRDefault="00C03B71" w:rsidP="00F70149">
      <w:pPr>
        <w:jc w:val="right"/>
        <w:rPr>
          <w:rFonts w:cs="Arial"/>
        </w:rPr>
      </w:pPr>
      <w:r w:rsidRPr="001A6569">
        <w:rPr>
          <w:rFonts w:eastAsia="Times New Roman" w:cs="Arial"/>
          <w:noProof/>
          <w:color w:val="888888"/>
          <w:szCs w:val="24"/>
          <w:lang w:eastAsia="en-AU"/>
        </w:rPr>
        <w:drawing>
          <wp:anchor distT="0" distB="0" distL="114300" distR="114300" simplePos="0" relativeHeight="251668480" behindDoc="1" locked="0" layoutInCell="1" allowOverlap="1" wp14:anchorId="22DD07D7" wp14:editId="5583F5FA">
            <wp:simplePos x="0" y="0"/>
            <wp:positionH relativeFrom="margin">
              <wp:posOffset>1926336</wp:posOffset>
            </wp:positionH>
            <wp:positionV relativeFrom="paragraph">
              <wp:posOffset>402210</wp:posOffset>
            </wp:positionV>
            <wp:extent cx="816864" cy="853776"/>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cstate="print">
                      <a:extLst>
                        <a:ext uri="{28A0092B-C50C-407E-A947-70E740481C1C}">
                          <a14:useLocalDpi xmlns:a14="http://schemas.microsoft.com/office/drawing/2010/main" val="0"/>
                        </a:ext>
                      </a:extLst>
                    </a:blip>
                    <a:srcRect l="14231" t="1562" r="5781" b="5407"/>
                    <a:stretch/>
                  </pic:blipFill>
                  <pic:spPr bwMode="auto">
                    <a:xfrm>
                      <a:off x="0" y="0"/>
                      <a:ext cx="819795" cy="856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ECC">
        <w:rPr>
          <w:rFonts w:cs="Arial"/>
        </w:rPr>
        <w:t xml:space="preserve"> </w:t>
      </w:r>
      <w:hyperlink r:id="rId164" w:history="1">
        <w:r w:rsidR="00B85ECC" w:rsidRPr="00CF1E22">
          <w:rPr>
            <w:rStyle w:val="Hyperlink"/>
            <w:rFonts w:cs="Arial"/>
          </w:rPr>
          <w:t>www.izak.co.za</w:t>
        </w:r>
      </w:hyperlink>
      <w:r w:rsidR="00B85ECC">
        <w:rPr>
          <w:rFonts w:cs="Arial"/>
        </w:rPr>
        <w:t xml:space="preserve"> and all related links</w:t>
      </w:r>
    </w:p>
    <w:sectPr w:rsidR="00C96038" w:rsidRPr="00B61373" w:rsidSect="0047630B">
      <w:footerReference w:type="default" r:id="rId16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2A0EB" w14:textId="77777777" w:rsidR="00FC0AA4" w:rsidRDefault="00FC0AA4" w:rsidP="00B809DA">
      <w:pPr>
        <w:spacing w:after="0" w:line="240" w:lineRule="auto"/>
      </w:pPr>
      <w:r>
        <w:separator/>
      </w:r>
    </w:p>
  </w:endnote>
  <w:endnote w:type="continuationSeparator" w:id="0">
    <w:p w14:paraId="017E5D34" w14:textId="77777777" w:rsidR="00FC0AA4" w:rsidRDefault="00FC0AA4" w:rsidP="00B8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 w:name="Montserrat">
    <w:altName w:val="Calibri"/>
    <w:charset w:val="00"/>
    <w:family w:val="auto"/>
    <w:pitch w:val="variable"/>
    <w:sig w:usb0="2000020F" w:usb1="00000003" w:usb2="00000000" w:usb3="00000000" w:csb0="00000197" w:csb1="00000000"/>
  </w:font>
  <w:font w:name="inherit">
    <w:altName w:val="Cambria"/>
    <w:charset w:val="00"/>
    <w:family w:val="auto"/>
    <w:pitch w:val="default"/>
  </w:font>
  <w:font w:name="Barlow Semi Condensed">
    <w:altName w:val="Calibri"/>
    <w:charset w:val="00"/>
    <w:family w:val="auto"/>
    <w:pitch w:val="variable"/>
    <w:sig w:usb0="2000000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proxima-nova">
    <w:altName w:val="Cambria"/>
    <w:panose1 w:val="00000000000000000000"/>
    <w:charset w:val="00"/>
    <w:family w:val="roman"/>
    <w:notTrueType/>
    <w:pitch w:val="default"/>
  </w:font>
  <w:font w:name="Helvetica Neue">
    <w:altName w:val="Arial"/>
    <w:charset w:val="00"/>
    <w:family w:val="roman"/>
    <w:pitch w:val="variable"/>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oppins-Bold">
    <w:altName w:val="Poppins"/>
    <w:panose1 w:val="00000000000000000000"/>
    <w:charset w:val="00"/>
    <w:family w:val="roman"/>
    <w:notTrueType/>
    <w:pitch w:val="default"/>
  </w:font>
  <w:font w:name="Poppins-Italic">
    <w:altName w:val="Poppins"/>
    <w:panose1 w:val="00000000000000000000"/>
    <w:charset w:val="00"/>
    <w:family w:val="roman"/>
    <w:notTrueType/>
    <w:pitch w:val="default"/>
  </w:font>
  <w:font w:name="Lekton-Bold">
    <w:altName w:val="Cambria"/>
    <w:panose1 w:val="00000000000000000000"/>
    <w:charset w:val="00"/>
    <w:family w:val="roman"/>
    <w:notTrueType/>
    <w:pitch w:val="default"/>
  </w:font>
  <w:font w:name="FontAwesom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02946"/>
      <w:docPartObj>
        <w:docPartGallery w:val="Page Numbers (Bottom of Page)"/>
        <w:docPartUnique/>
      </w:docPartObj>
    </w:sdtPr>
    <w:sdtEndPr>
      <w:rPr>
        <w:noProof/>
      </w:rPr>
    </w:sdtEndPr>
    <w:sdtContent>
      <w:p w14:paraId="4A31324B" w14:textId="51531D3B" w:rsidR="00DB2DAB" w:rsidRDefault="00DB2D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EA08F7" w14:textId="77777777" w:rsidR="00DB2DAB" w:rsidRDefault="00DB2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71395"/>
      <w:docPartObj>
        <w:docPartGallery w:val="Page Numbers (Bottom of Page)"/>
        <w:docPartUnique/>
      </w:docPartObj>
    </w:sdtPr>
    <w:sdtEndPr>
      <w:rPr>
        <w:noProof/>
      </w:rPr>
    </w:sdtEndPr>
    <w:sdtContent>
      <w:p w14:paraId="17CFE95E" w14:textId="61650C52" w:rsidR="007A0CC6" w:rsidRDefault="00B809DA" w:rsidP="00FF32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5DBDB" w14:textId="77777777" w:rsidR="00FC0AA4" w:rsidRDefault="00FC0AA4" w:rsidP="00B809DA">
      <w:pPr>
        <w:spacing w:after="0" w:line="240" w:lineRule="auto"/>
      </w:pPr>
      <w:r>
        <w:separator/>
      </w:r>
    </w:p>
  </w:footnote>
  <w:footnote w:type="continuationSeparator" w:id="0">
    <w:p w14:paraId="32277764" w14:textId="77777777" w:rsidR="00FC0AA4" w:rsidRDefault="00FC0AA4" w:rsidP="00B809DA">
      <w:pPr>
        <w:spacing w:after="0" w:line="240" w:lineRule="auto"/>
      </w:pPr>
      <w:r>
        <w:continuationSeparator/>
      </w:r>
    </w:p>
  </w:footnote>
  <w:footnote w:id="1">
    <w:p w14:paraId="0A860F0E" w14:textId="409DEE2A" w:rsidR="00B068AC" w:rsidRPr="00944236" w:rsidRDefault="00B068AC">
      <w:pPr>
        <w:pStyle w:val="FootnoteText"/>
        <w:rPr>
          <w:sz w:val="16"/>
          <w:szCs w:val="16"/>
        </w:rPr>
      </w:pPr>
      <w:r>
        <w:rPr>
          <w:rStyle w:val="FootnoteReference"/>
        </w:rPr>
        <w:footnoteRef/>
      </w:r>
      <w:r>
        <w:t xml:space="preserve"> </w:t>
      </w:r>
      <w:r w:rsidR="00944236" w:rsidRPr="00944236">
        <w:rPr>
          <w:sz w:val="16"/>
          <w:szCs w:val="16"/>
        </w:rPr>
        <w:t>So as</w:t>
      </w:r>
      <w:r w:rsidRPr="00944236">
        <w:rPr>
          <w:sz w:val="16"/>
          <w:szCs w:val="16"/>
        </w:rPr>
        <w:t xml:space="preserve"> not to antagonise the source from which the concern giving rise to this application arises.</w:t>
      </w:r>
    </w:p>
  </w:footnote>
  <w:footnote w:id="2">
    <w:p w14:paraId="2584C777" w14:textId="66275387" w:rsidR="00B068AC" w:rsidRDefault="00B068AC">
      <w:pPr>
        <w:pStyle w:val="FootnoteText"/>
      </w:pPr>
      <w:r w:rsidRPr="00944236">
        <w:rPr>
          <w:rStyle w:val="FootnoteReference"/>
          <w:sz w:val="16"/>
          <w:szCs w:val="16"/>
        </w:rPr>
        <w:footnoteRef/>
      </w:r>
      <w:r w:rsidRPr="00944236">
        <w:rPr>
          <w:sz w:val="16"/>
          <w:szCs w:val="16"/>
        </w:rPr>
        <w:t xml:space="preserve"> An interlocutory application to the judge president to appoint a non-predisposed (such as vaccinated), </w:t>
      </w:r>
      <w:r w:rsidR="00225118">
        <w:rPr>
          <w:sz w:val="16"/>
          <w:szCs w:val="16"/>
        </w:rPr>
        <w:t>without any</w:t>
      </w:r>
      <w:r w:rsidRPr="00944236">
        <w:rPr>
          <w:sz w:val="16"/>
          <w:szCs w:val="16"/>
        </w:rPr>
        <w:t xml:space="preserve"> conflict of interest (</w:t>
      </w:r>
      <w:r w:rsidR="00225118">
        <w:rPr>
          <w:sz w:val="16"/>
          <w:szCs w:val="16"/>
        </w:rPr>
        <w:t>s</w:t>
      </w:r>
      <w:r w:rsidR="00944236">
        <w:rPr>
          <w:sz w:val="16"/>
          <w:szCs w:val="16"/>
        </w:rPr>
        <w:t>uch as having received a financial benefit e</w:t>
      </w:r>
      <w:r w:rsidR="00225118">
        <w:rPr>
          <w:sz w:val="16"/>
          <w:szCs w:val="16"/>
        </w:rPr>
        <w:t>.</w:t>
      </w:r>
      <w:r w:rsidR="00944236">
        <w:rPr>
          <w:sz w:val="16"/>
          <w:szCs w:val="16"/>
        </w:rPr>
        <w:t xml:space="preserve">g. </w:t>
      </w:r>
      <w:r w:rsidR="00225118">
        <w:rPr>
          <w:sz w:val="16"/>
          <w:szCs w:val="16"/>
        </w:rPr>
        <w:t>m</w:t>
      </w:r>
      <w:r w:rsidR="00944236">
        <w:rPr>
          <w:sz w:val="16"/>
          <w:szCs w:val="16"/>
        </w:rPr>
        <w:t>ore tha</w:t>
      </w:r>
      <w:r w:rsidR="00225118">
        <w:rPr>
          <w:sz w:val="16"/>
          <w:szCs w:val="16"/>
        </w:rPr>
        <w:t>n</w:t>
      </w:r>
      <w:r w:rsidR="00944236">
        <w:rPr>
          <w:sz w:val="16"/>
          <w:szCs w:val="16"/>
        </w:rPr>
        <w:t xml:space="preserve"> 30% investment in big pharma </w:t>
      </w:r>
      <w:r w:rsidR="00225118">
        <w:rPr>
          <w:sz w:val="16"/>
          <w:szCs w:val="16"/>
        </w:rPr>
        <w:t>in</w:t>
      </w:r>
      <w:r w:rsidR="00944236">
        <w:rPr>
          <w:sz w:val="16"/>
          <w:szCs w:val="16"/>
        </w:rPr>
        <w:t xml:space="preserve"> their superannuation fund) or compromise (</w:t>
      </w:r>
      <w:r w:rsidRPr="00944236">
        <w:rPr>
          <w:sz w:val="16"/>
          <w:szCs w:val="16"/>
        </w:rPr>
        <w:t xml:space="preserve">such as infidelity or child trafficking, pornography or paedophilia), or religiously biased </w:t>
      </w:r>
      <w:r w:rsidR="00944236">
        <w:rPr>
          <w:sz w:val="16"/>
          <w:szCs w:val="16"/>
        </w:rPr>
        <w:t>(</w:t>
      </w:r>
      <w:r w:rsidRPr="00944236">
        <w:rPr>
          <w:sz w:val="16"/>
          <w:szCs w:val="16"/>
        </w:rPr>
        <w:t xml:space="preserve">e.g. Hyper </w:t>
      </w:r>
      <w:r w:rsidR="00944236">
        <w:rPr>
          <w:sz w:val="16"/>
          <w:szCs w:val="16"/>
        </w:rPr>
        <w:t>S</w:t>
      </w:r>
      <w:r w:rsidRPr="00944236">
        <w:rPr>
          <w:sz w:val="16"/>
          <w:szCs w:val="16"/>
        </w:rPr>
        <w:t xml:space="preserve">ecular, </w:t>
      </w:r>
      <w:r w:rsidR="008934D6" w:rsidRPr="00944236">
        <w:rPr>
          <w:sz w:val="16"/>
          <w:szCs w:val="16"/>
        </w:rPr>
        <w:t>E</w:t>
      </w:r>
      <w:r w:rsidRPr="00944236">
        <w:rPr>
          <w:sz w:val="16"/>
          <w:szCs w:val="16"/>
        </w:rPr>
        <w:t>soteric or M</w:t>
      </w:r>
      <w:r w:rsidR="008934D6" w:rsidRPr="00944236">
        <w:rPr>
          <w:sz w:val="16"/>
          <w:szCs w:val="16"/>
        </w:rPr>
        <w:t>a</w:t>
      </w:r>
      <w:r w:rsidRPr="00944236">
        <w:rPr>
          <w:sz w:val="16"/>
          <w:szCs w:val="16"/>
        </w:rPr>
        <w:t xml:space="preserve">sonic) </w:t>
      </w:r>
      <w:r w:rsidR="00944236">
        <w:rPr>
          <w:sz w:val="16"/>
          <w:szCs w:val="16"/>
        </w:rPr>
        <w:t>completely independent</w:t>
      </w:r>
      <w:r w:rsidRPr="00944236">
        <w:rPr>
          <w:sz w:val="16"/>
          <w:szCs w:val="16"/>
        </w:rPr>
        <w:t xml:space="preserve"> presiding officer</w:t>
      </w:r>
      <w:r w:rsidR="00225118">
        <w:rPr>
          <w:sz w:val="16"/>
          <w:szCs w:val="16"/>
        </w:rPr>
        <w:t>,</w:t>
      </w:r>
      <w:r w:rsidR="00944236">
        <w:rPr>
          <w:sz w:val="16"/>
          <w:szCs w:val="16"/>
        </w:rPr>
        <w:t xml:space="preserve"> that would </w:t>
      </w:r>
      <w:r w:rsidR="00225118">
        <w:rPr>
          <w:sz w:val="16"/>
          <w:szCs w:val="16"/>
        </w:rPr>
        <w:t>eliminate</w:t>
      </w:r>
      <w:r w:rsidR="00944236">
        <w:rPr>
          <w:sz w:val="16"/>
          <w:szCs w:val="16"/>
        </w:rPr>
        <w:t xml:space="preserve"> circumstanced that would amount to partisan territory and thereby provide </w:t>
      </w:r>
      <w:r w:rsidR="00225118">
        <w:rPr>
          <w:sz w:val="16"/>
          <w:szCs w:val="16"/>
        </w:rPr>
        <w:t xml:space="preserve">potential </w:t>
      </w:r>
      <w:r w:rsidR="00944236">
        <w:rPr>
          <w:sz w:val="16"/>
          <w:szCs w:val="16"/>
        </w:rPr>
        <w:t xml:space="preserve">grounds for review. </w:t>
      </w:r>
    </w:p>
  </w:footnote>
  <w:footnote w:id="3">
    <w:p w14:paraId="78D3DD0F" w14:textId="77777777" w:rsidR="003E7F60" w:rsidRDefault="003E7F60" w:rsidP="003E7F60">
      <w:pPr>
        <w:pStyle w:val="FootnoteText"/>
      </w:pPr>
      <w:r>
        <w:rPr>
          <w:rStyle w:val="FootnoteReference"/>
        </w:rPr>
        <w:footnoteRef/>
      </w:r>
      <w:r>
        <w:t xml:space="preserve"> </w:t>
      </w:r>
      <w:r w:rsidRPr="00B068AC">
        <w:rPr>
          <w:sz w:val="18"/>
          <w:szCs w:val="18"/>
        </w:rPr>
        <w:t>In order not to antagonise the source from which the concern giving rise to this application arises</w:t>
      </w:r>
      <w:r>
        <w:t>.</w:t>
      </w:r>
    </w:p>
  </w:footnote>
  <w:footnote w:id="4">
    <w:p w14:paraId="72D48B7F" w14:textId="77777777" w:rsidR="003E7F60" w:rsidRDefault="003E7F60" w:rsidP="003E7F60">
      <w:pPr>
        <w:pStyle w:val="FootnoteText"/>
      </w:pPr>
      <w:r>
        <w:rPr>
          <w:rStyle w:val="FootnoteReference"/>
        </w:rPr>
        <w:footnoteRef/>
      </w:r>
      <w:r>
        <w:t xml:space="preserve"> </w:t>
      </w:r>
      <w:r w:rsidRPr="008934D6">
        <w:rPr>
          <w:sz w:val="16"/>
          <w:szCs w:val="16"/>
        </w:rPr>
        <w:t>An interlocutory application to the judge president to appoint a non-predisposed (such as vaccinated), uncompromised (such as financial gain through superannuation etc), conflict of interest (such as infidelity or child trafficking, pornography or paedophilia), or religiously biased e.g. Hyper secular, Esoteric or Masonic) free, presiding officer</w:t>
      </w:r>
    </w:p>
  </w:footnote>
  <w:footnote w:id="5">
    <w:p w14:paraId="24555CCC" w14:textId="77777777" w:rsidR="003E7F60" w:rsidRDefault="003E7F60" w:rsidP="003E7F60">
      <w:pPr>
        <w:pStyle w:val="FootnoteText"/>
      </w:pPr>
      <w:r>
        <w:rPr>
          <w:rStyle w:val="FootnoteReference"/>
        </w:rPr>
        <w:footnoteRef/>
      </w:r>
      <w:r>
        <w:t xml:space="preserve"> </w:t>
      </w:r>
      <w:r w:rsidRPr="00B068AC">
        <w:rPr>
          <w:sz w:val="18"/>
          <w:szCs w:val="18"/>
        </w:rPr>
        <w:t>In order not to antagonise the source from which the concern giving rise to this application arises</w:t>
      </w:r>
      <w:r>
        <w:t>.</w:t>
      </w:r>
    </w:p>
  </w:footnote>
  <w:footnote w:id="6">
    <w:p w14:paraId="79D5BBC6" w14:textId="77777777" w:rsidR="003E7F60" w:rsidRDefault="003E7F60" w:rsidP="003E7F60">
      <w:pPr>
        <w:pStyle w:val="FootnoteText"/>
      </w:pPr>
      <w:r>
        <w:rPr>
          <w:rStyle w:val="FootnoteReference"/>
        </w:rPr>
        <w:footnoteRef/>
      </w:r>
      <w:r>
        <w:t xml:space="preserve"> </w:t>
      </w:r>
      <w:r w:rsidRPr="008934D6">
        <w:rPr>
          <w:sz w:val="16"/>
          <w:szCs w:val="16"/>
        </w:rPr>
        <w:t>An interlocutory application to the judge president to appoint a non-predisposed (such as vaccinated), uncompromised (such as financial gain through superannuation etc), conflict of interest (such as infidelity or child trafficking, pornography or paedophilia), or religiously biased e.g. Hyper secular, Esoteric or Masonic) free, presiding officer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0BE5"/>
    <w:multiLevelType w:val="multilevel"/>
    <w:tmpl w:val="E906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4347A"/>
    <w:multiLevelType w:val="hybridMultilevel"/>
    <w:tmpl w:val="E848C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B1541"/>
    <w:multiLevelType w:val="multilevel"/>
    <w:tmpl w:val="138A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94674B"/>
    <w:multiLevelType w:val="multilevel"/>
    <w:tmpl w:val="48F65848"/>
    <w:lvl w:ilvl="0">
      <w:start w:val="1"/>
      <w:numFmt w:val="decimal"/>
      <w:lvlText w:val="%1."/>
      <w:lvlJc w:val="lef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3555367"/>
    <w:multiLevelType w:val="multilevel"/>
    <w:tmpl w:val="A6B03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FE7058"/>
    <w:multiLevelType w:val="hybridMultilevel"/>
    <w:tmpl w:val="3B66332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7B773DB"/>
    <w:multiLevelType w:val="hybridMultilevel"/>
    <w:tmpl w:val="E036023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7DC78F7"/>
    <w:multiLevelType w:val="multilevel"/>
    <w:tmpl w:val="D6C00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41FDD"/>
    <w:multiLevelType w:val="singleLevel"/>
    <w:tmpl w:val="9B7C8278"/>
    <w:lvl w:ilvl="0">
      <w:start w:val="1"/>
      <w:numFmt w:val="lowerLetter"/>
      <w:lvlText w:val="(%1)"/>
      <w:lvlJc w:val="left"/>
      <w:pPr>
        <w:tabs>
          <w:tab w:val="num" w:pos="855"/>
        </w:tabs>
        <w:ind w:left="855" w:hanging="435"/>
      </w:pPr>
    </w:lvl>
  </w:abstractNum>
  <w:abstractNum w:abstractNumId="9" w15:restartNumberingAfterBreak="0">
    <w:nsid w:val="19A75799"/>
    <w:multiLevelType w:val="multilevel"/>
    <w:tmpl w:val="9828D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DE685A"/>
    <w:multiLevelType w:val="multilevel"/>
    <w:tmpl w:val="12EC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5347E5"/>
    <w:multiLevelType w:val="multilevel"/>
    <w:tmpl w:val="BDBC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42E33"/>
    <w:multiLevelType w:val="multilevel"/>
    <w:tmpl w:val="2CAAEB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18744D"/>
    <w:multiLevelType w:val="multilevel"/>
    <w:tmpl w:val="E7A8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397BD7"/>
    <w:multiLevelType w:val="multilevel"/>
    <w:tmpl w:val="77D0D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5D5DDB"/>
    <w:multiLevelType w:val="multilevel"/>
    <w:tmpl w:val="BED203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561457"/>
    <w:multiLevelType w:val="multilevel"/>
    <w:tmpl w:val="8E3E5FC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BA50E4"/>
    <w:multiLevelType w:val="multilevel"/>
    <w:tmpl w:val="1904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7A7C68"/>
    <w:multiLevelType w:val="hybridMultilevel"/>
    <w:tmpl w:val="0FD835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34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50116A"/>
    <w:multiLevelType w:val="multilevel"/>
    <w:tmpl w:val="7AF0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967AD2"/>
    <w:multiLevelType w:val="multilevel"/>
    <w:tmpl w:val="3ED4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A3D59"/>
    <w:multiLevelType w:val="multilevel"/>
    <w:tmpl w:val="A61E3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AF6406"/>
    <w:multiLevelType w:val="hybridMultilevel"/>
    <w:tmpl w:val="1124173A"/>
    <w:lvl w:ilvl="0" w:tplc="94E2123E">
      <w:numFmt w:val="bullet"/>
      <w:lvlText w:val="•"/>
      <w:lvlJc w:val="left"/>
      <w:pPr>
        <w:ind w:left="680" w:hanging="171"/>
      </w:pPr>
      <w:rPr>
        <w:rFonts w:ascii="Arial" w:eastAsia="Arial" w:hAnsi="Arial" w:cs="Arial" w:hint="default"/>
        <w:b w:val="0"/>
        <w:bCs w:val="0"/>
        <w:i w:val="0"/>
        <w:iCs w:val="0"/>
        <w:color w:val="010202"/>
        <w:w w:val="100"/>
        <w:sz w:val="20"/>
        <w:szCs w:val="20"/>
        <w:lang w:val="en-US" w:eastAsia="en-US" w:bidi="ar-SA"/>
      </w:rPr>
    </w:lvl>
    <w:lvl w:ilvl="1" w:tplc="531A8A84">
      <w:numFmt w:val="bullet"/>
      <w:lvlText w:val="•"/>
      <w:lvlJc w:val="left"/>
      <w:pPr>
        <w:ind w:left="1532" w:hanging="171"/>
      </w:pPr>
      <w:rPr>
        <w:lang w:val="en-US" w:eastAsia="en-US" w:bidi="ar-SA"/>
      </w:rPr>
    </w:lvl>
    <w:lvl w:ilvl="2" w:tplc="8E28356E">
      <w:numFmt w:val="bullet"/>
      <w:lvlText w:val="•"/>
      <w:lvlJc w:val="left"/>
      <w:pPr>
        <w:ind w:left="2385" w:hanging="171"/>
      </w:pPr>
      <w:rPr>
        <w:lang w:val="en-US" w:eastAsia="en-US" w:bidi="ar-SA"/>
      </w:rPr>
    </w:lvl>
    <w:lvl w:ilvl="3" w:tplc="406CC360">
      <w:numFmt w:val="bullet"/>
      <w:lvlText w:val="•"/>
      <w:lvlJc w:val="left"/>
      <w:pPr>
        <w:ind w:left="3237" w:hanging="171"/>
      </w:pPr>
      <w:rPr>
        <w:lang w:val="en-US" w:eastAsia="en-US" w:bidi="ar-SA"/>
      </w:rPr>
    </w:lvl>
    <w:lvl w:ilvl="4" w:tplc="C6C60FF6">
      <w:numFmt w:val="bullet"/>
      <w:lvlText w:val="•"/>
      <w:lvlJc w:val="left"/>
      <w:pPr>
        <w:ind w:left="4090" w:hanging="171"/>
      </w:pPr>
      <w:rPr>
        <w:lang w:val="en-US" w:eastAsia="en-US" w:bidi="ar-SA"/>
      </w:rPr>
    </w:lvl>
    <w:lvl w:ilvl="5" w:tplc="8F6CA27E">
      <w:numFmt w:val="bullet"/>
      <w:lvlText w:val="•"/>
      <w:lvlJc w:val="left"/>
      <w:pPr>
        <w:ind w:left="4942" w:hanging="171"/>
      </w:pPr>
      <w:rPr>
        <w:lang w:val="en-US" w:eastAsia="en-US" w:bidi="ar-SA"/>
      </w:rPr>
    </w:lvl>
    <w:lvl w:ilvl="6" w:tplc="616AA88C">
      <w:numFmt w:val="bullet"/>
      <w:lvlText w:val="•"/>
      <w:lvlJc w:val="left"/>
      <w:pPr>
        <w:ind w:left="5795" w:hanging="171"/>
      </w:pPr>
      <w:rPr>
        <w:lang w:val="en-US" w:eastAsia="en-US" w:bidi="ar-SA"/>
      </w:rPr>
    </w:lvl>
    <w:lvl w:ilvl="7" w:tplc="82C2B552">
      <w:numFmt w:val="bullet"/>
      <w:lvlText w:val="•"/>
      <w:lvlJc w:val="left"/>
      <w:pPr>
        <w:ind w:left="6647" w:hanging="171"/>
      </w:pPr>
      <w:rPr>
        <w:lang w:val="en-US" w:eastAsia="en-US" w:bidi="ar-SA"/>
      </w:rPr>
    </w:lvl>
    <w:lvl w:ilvl="8" w:tplc="7818992C">
      <w:numFmt w:val="bullet"/>
      <w:lvlText w:val="•"/>
      <w:lvlJc w:val="left"/>
      <w:pPr>
        <w:ind w:left="7500" w:hanging="171"/>
      </w:pPr>
      <w:rPr>
        <w:lang w:val="en-US" w:eastAsia="en-US" w:bidi="ar-SA"/>
      </w:rPr>
    </w:lvl>
  </w:abstractNum>
  <w:abstractNum w:abstractNumId="23" w15:restartNumberingAfterBreak="0">
    <w:nsid w:val="3915245C"/>
    <w:multiLevelType w:val="multilevel"/>
    <w:tmpl w:val="07F24E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AD4D68"/>
    <w:multiLevelType w:val="multilevel"/>
    <w:tmpl w:val="AAD8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A4048E"/>
    <w:multiLevelType w:val="multilevel"/>
    <w:tmpl w:val="8E3E5FC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4176B6"/>
    <w:multiLevelType w:val="multilevel"/>
    <w:tmpl w:val="C1988C68"/>
    <w:lvl w:ilvl="0">
      <w:start w:val="1"/>
      <w:numFmt w:val="lowerRoman"/>
      <w:lvlText w:val="%1."/>
      <w:lvlJc w:val="righ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3F432867"/>
    <w:multiLevelType w:val="multilevel"/>
    <w:tmpl w:val="75AE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FB41FD9"/>
    <w:multiLevelType w:val="multilevel"/>
    <w:tmpl w:val="DC0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6667E"/>
    <w:multiLevelType w:val="multilevel"/>
    <w:tmpl w:val="8612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191A31"/>
    <w:multiLevelType w:val="singleLevel"/>
    <w:tmpl w:val="E2FEBF30"/>
    <w:lvl w:ilvl="0">
      <w:start w:val="1"/>
      <w:numFmt w:val="decimal"/>
      <w:lvlText w:val="%1."/>
      <w:lvlJc w:val="left"/>
      <w:pPr>
        <w:tabs>
          <w:tab w:val="num" w:pos="435"/>
        </w:tabs>
        <w:ind w:left="435" w:hanging="435"/>
      </w:pPr>
    </w:lvl>
  </w:abstractNum>
  <w:abstractNum w:abstractNumId="31" w15:restartNumberingAfterBreak="0">
    <w:nsid w:val="41800D09"/>
    <w:multiLevelType w:val="multilevel"/>
    <w:tmpl w:val="A4C4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CB4445"/>
    <w:multiLevelType w:val="multilevel"/>
    <w:tmpl w:val="96C8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143896"/>
    <w:multiLevelType w:val="multilevel"/>
    <w:tmpl w:val="3688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8E4B31"/>
    <w:multiLevelType w:val="multilevel"/>
    <w:tmpl w:val="BB542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2E13C2"/>
    <w:multiLevelType w:val="multilevel"/>
    <w:tmpl w:val="40AC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816007"/>
    <w:multiLevelType w:val="multilevel"/>
    <w:tmpl w:val="7D28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B74E6E"/>
    <w:multiLevelType w:val="multilevel"/>
    <w:tmpl w:val="444A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BD4873"/>
    <w:multiLevelType w:val="multilevel"/>
    <w:tmpl w:val="445E4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03463B"/>
    <w:multiLevelType w:val="multilevel"/>
    <w:tmpl w:val="09A8E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027F02"/>
    <w:multiLevelType w:val="hybridMultilevel"/>
    <w:tmpl w:val="88B40C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6122A41"/>
    <w:multiLevelType w:val="multilevel"/>
    <w:tmpl w:val="5DA26D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135702"/>
    <w:multiLevelType w:val="multilevel"/>
    <w:tmpl w:val="7802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5418B9"/>
    <w:multiLevelType w:val="multilevel"/>
    <w:tmpl w:val="6C88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C656A6"/>
    <w:multiLevelType w:val="multilevel"/>
    <w:tmpl w:val="E0F8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7213A7"/>
    <w:multiLevelType w:val="multilevel"/>
    <w:tmpl w:val="445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75610F"/>
    <w:multiLevelType w:val="singleLevel"/>
    <w:tmpl w:val="9300E0B6"/>
    <w:lvl w:ilvl="0">
      <w:start w:val="1"/>
      <w:numFmt w:val="decimal"/>
      <w:lvlText w:val="%1."/>
      <w:lvlJc w:val="left"/>
      <w:pPr>
        <w:tabs>
          <w:tab w:val="num" w:pos="435"/>
        </w:tabs>
        <w:ind w:left="435" w:hanging="435"/>
      </w:pPr>
    </w:lvl>
  </w:abstractNum>
  <w:abstractNum w:abstractNumId="47" w15:restartNumberingAfterBreak="0">
    <w:nsid w:val="5FFD3EBA"/>
    <w:multiLevelType w:val="multilevel"/>
    <w:tmpl w:val="74124FE2"/>
    <w:lvl w:ilvl="0">
      <w:start w:val="1"/>
      <w:numFmt w:val="lowerRoman"/>
      <w:lvlText w:val="%1."/>
      <w:lvlJc w:val="righ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8" w15:restartNumberingAfterBreak="0">
    <w:nsid w:val="626461D5"/>
    <w:multiLevelType w:val="multilevel"/>
    <w:tmpl w:val="CE42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5A478A"/>
    <w:multiLevelType w:val="multilevel"/>
    <w:tmpl w:val="64DE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2A661A"/>
    <w:multiLevelType w:val="multilevel"/>
    <w:tmpl w:val="9ABA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EB52A1"/>
    <w:multiLevelType w:val="multilevel"/>
    <w:tmpl w:val="65D41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7592176"/>
    <w:multiLevelType w:val="multilevel"/>
    <w:tmpl w:val="D7D8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F67596"/>
    <w:multiLevelType w:val="multilevel"/>
    <w:tmpl w:val="AF44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C90E48"/>
    <w:multiLevelType w:val="multilevel"/>
    <w:tmpl w:val="3E50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687885"/>
    <w:multiLevelType w:val="singleLevel"/>
    <w:tmpl w:val="9B7C8278"/>
    <w:lvl w:ilvl="0">
      <w:start w:val="1"/>
      <w:numFmt w:val="lowerLetter"/>
      <w:lvlText w:val="(%1)"/>
      <w:lvlJc w:val="left"/>
      <w:pPr>
        <w:tabs>
          <w:tab w:val="num" w:pos="855"/>
        </w:tabs>
        <w:ind w:left="855" w:hanging="435"/>
      </w:pPr>
    </w:lvl>
  </w:abstractNum>
  <w:abstractNum w:abstractNumId="56" w15:restartNumberingAfterBreak="0">
    <w:nsid w:val="6E231664"/>
    <w:multiLevelType w:val="multilevel"/>
    <w:tmpl w:val="6878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F1B3503"/>
    <w:multiLevelType w:val="multilevel"/>
    <w:tmpl w:val="C1988C68"/>
    <w:lvl w:ilvl="0">
      <w:start w:val="1"/>
      <w:numFmt w:val="lowerRoman"/>
      <w:lvlText w:val="%1."/>
      <w:lvlJc w:val="right"/>
      <w:pPr>
        <w:tabs>
          <w:tab w:val="num" w:pos="1080"/>
        </w:tabs>
        <w:ind w:left="1080" w:hanging="360"/>
      </w:pPr>
      <w:rPr>
        <w:rFont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8" w15:restartNumberingAfterBreak="0">
    <w:nsid w:val="70DD10E5"/>
    <w:multiLevelType w:val="multilevel"/>
    <w:tmpl w:val="B6D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120F7D"/>
    <w:multiLevelType w:val="multilevel"/>
    <w:tmpl w:val="A0AC8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173C61"/>
    <w:multiLevelType w:val="multilevel"/>
    <w:tmpl w:val="50FA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A3207A"/>
    <w:multiLevelType w:val="multilevel"/>
    <w:tmpl w:val="4C52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202E09"/>
    <w:multiLevelType w:val="hybridMultilevel"/>
    <w:tmpl w:val="0FD835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7D7354F"/>
    <w:multiLevelType w:val="multilevel"/>
    <w:tmpl w:val="CF22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B112137"/>
    <w:multiLevelType w:val="multilevel"/>
    <w:tmpl w:val="FAC29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B468EE"/>
    <w:multiLevelType w:val="multilevel"/>
    <w:tmpl w:val="6A84B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8559018">
    <w:abstractNumId w:val="39"/>
  </w:num>
  <w:num w:numId="2" w16cid:durableId="667755878">
    <w:abstractNumId w:val="12"/>
  </w:num>
  <w:num w:numId="3" w16cid:durableId="941843424">
    <w:abstractNumId w:val="65"/>
  </w:num>
  <w:num w:numId="4" w16cid:durableId="1420952916">
    <w:abstractNumId w:val="50"/>
  </w:num>
  <w:num w:numId="5" w16cid:durableId="156311663">
    <w:abstractNumId w:val="21"/>
  </w:num>
  <w:num w:numId="6" w16cid:durableId="1559365837">
    <w:abstractNumId w:val="14"/>
  </w:num>
  <w:num w:numId="7" w16cid:durableId="1389958800">
    <w:abstractNumId w:val="34"/>
  </w:num>
  <w:num w:numId="8" w16cid:durableId="559945244">
    <w:abstractNumId w:val="16"/>
  </w:num>
  <w:num w:numId="9" w16cid:durableId="1956130444">
    <w:abstractNumId w:val="25"/>
  </w:num>
  <w:num w:numId="10" w16cid:durableId="948464960">
    <w:abstractNumId w:val="7"/>
  </w:num>
  <w:num w:numId="11" w16cid:durableId="1515530140">
    <w:abstractNumId w:val="59"/>
  </w:num>
  <w:num w:numId="12" w16cid:durableId="979917867">
    <w:abstractNumId w:val="51"/>
  </w:num>
  <w:num w:numId="13" w16cid:durableId="2044161628">
    <w:abstractNumId w:val="1"/>
  </w:num>
  <w:num w:numId="14" w16cid:durableId="638220075">
    <w:abstractNumId w:val="2"/>
  </w:num>
  <w:num w:numId="15" w16cid:durableId="155193617">
    <w:abstractNumId w:val="15"/>
  </w:num>
  <w:num w:numId="16" w16cid:durableId="2101486966">
    <w:abstractNumId w:val="23"/>
  </w:num>
  <w:num w:numId="17" w16cid:durableId="1708601939">
    <w:abstractNumId w:val="64"/>
  </w:num>
  <w:num w:numId="18" w16cid:durableId="1567691254">
    <w:abstractNumId w:val="42"/>
  </w:num>
  <w:num w:numId="19" w16cid:durableId="1147085740">
    <w:abstractNumId w:val="40"/>
  </w:num>
  <w:num w:numId="20" w16cid:durableId="2105033477">
    <w:abstractNumId w:val="0"/>
  </w:num>
  <w:num w:numId="21" w16cid:durableId="1692147131">
    <w:abstractNumId w:val="57"/>
  </w:num>
  <w:num w:numId="22" w16cid:durableId="1409570755">
    <w:abstractNumId w:val="5"/>
  </w:num>
  <w:num w:numId="23" w16cid:durableId="265382776">
    <w:abstractNumId w:val="6"/>
  </w:num>
  <w:num w:numId="24" w16cid:durableId="738283246">
    <w:abstractNumId w:val="47"/>
  </w:num>
  <w:num w:numId="25" w16cid:durableId="2101637583">
    <w:abstractNumId w:val="26"/>
  </w:num>
  <w:num w:numId="26" w16cid:durableId="2128423502">
    <w:abstractNumId w:val="3"/>
  </w:num>
  <w:num w:numId="27" w16cid:durableId="983043049">
    <w:abstractNumId w:val="10"/>
  </w:num>
  <w:num w:numId="28" w16cid:durableId="190342514">
    <w:abstractNumId w:val="43"/>
  </w:num>
  <w:num w:numId="29" w16cid:durableId="911475273">
    <w:abstractNumId w:val="63"/>
  </w:num>
  <w:num w:numId="30" w16cid:durableId="1223760546">
    <w:abstractNumId w:val="38"/>
  </w:num>
  <w:num w:numId="31" w16cid:durableId="2030526597">
    <w:abstractNumId w:val="48"/>
  </w:num>
  <w:num w:numId="32" w16cid:durableId="632098472">
    <w:abstractNumId w:val="58"/>
  </w:num>
  <w:num w:numId="33" w16cid:durableId="1895191142">
    <w:abstractNumId w:val="41"/>
  </w:num>
  <w:num w:numId="34" w16cid:durableId="1570650834">
    <w:abstractNumId w:val="13"/>
  </w:num>
  <w:num w:numId="35" w16cid:durableId="929201080">
    <w:abstractNumId w:val="44"/>
  </w:num>
  <w:num w:numId="36" w16cid:durableId="505828163">
    <w:abstractNumId w:val="31"/>
  </w:num>
  <w:num w:numId="37" w16cid:durableId="149493072">
    <w:abstractNumId w:val="54"/>
  </w:num>
  <w:num w:numId="38" w16cid:durableId="1350719188">
    <w:abstractNumId w:val="52"/>
  </w:num>
  <w:num w:numId="39" w16cid:durableId="1030497636">
    <w:abstractNumId w:val="4"/>
  </w:num>
  <w:num w:numId="40" w16cid:durableId="732046530">
    <w:abstractNumId w:val="45"/>
  </w:num>
  <w:num w:numId="41" w16cid:durableId="1592857465">
    <w:abstractNumId w:val="9"/>
  </w:num>
  <w:num w:numId="42" w16cid:durableId="1321230523">
    <w:abstractNumId w:val="36"/>
  </w:num>
  <w:num w:numId="43" w16cid:durableId="564415376">
    <w:abstractNumId w:val="32"/>
  </w:num>
  <w:num w:numId="44" w16cid:durableId="1870988797">
    <w:abstractNumId w:val="20"/>
  </w:num>
  <w:num w:numId="45" w16cid:durableId="1731267873">
    <w:abstractNumId w:val="17"/>
  </w:num>
  <w:num w:numId="46" w16cid:durableId="1252547656">
    <w:abstractNumId w:val="11"/>
  </w:num>
  <w:num w:numId="47" w16cid:durableId="1991670280">
    <w:abstractNumId w:val="49"/>
  </w:num>
  <w:num w:numId="48" w16cid:durableId="1297754764">
    <w:abstractNumId w:val="53"/>
  </w:num>
  <w:num w:numId="49" w16cid:durableId="1900020566">
    <w:abstractNumId w:val="28"/>
  </w:num>
  <w:num w:numId="50" w16cid:durableId="1639609039">
    <w:abstractNumId w:val="33"/>
  </w:num>
  <w:num w:numId="51" w16cid:durableId="1386098006">
    <w:abstractNumId w:val="29"/>
  </w:num>
  <w:num w:numId="52" w16cid:durableId="1698890944">
    <w:abstractNumId w:val="60"/>
  </w:num>
  <w:num w:numId="53" w16cid:durableId="549075864">
    <w:abstractNumId w:val="22"/>
  </w:num>
  <w:num w:numId="54" w16cid:durableId="861086354">
    <w:abstractNumId w:val="19"/>
  </w:num>
  <w:num w:numId="55" w16cid:durableId="1739673716">
    <w:abstractNumId w:val="56"/>
  </w:num>
  <w:num w:numId="56" w16cid:durableId="1239242913">
    <w:abstractNumId w:val="27"/>
  </w:num>
  <w:num w:numId="57" w16cid:durableId="1904635294">
    <w:abstractNumId w:val="37"/>
  </w:num>
  <w:num w:numId="58" w16cid:durableId="497579374">
    <w:abstractNumId w:val="35"/>
  </w:num>
  <w:num w:numId="59" w16cid:durableId="1644702636">
    <w:abstractNumId w:val="18"/>
  </w:num>
  <w:num w:numId="60" w16cid:durableId="985208348">
    <w:abstractNumId w:val="62"/>
  </w:num>
  <w:num w:numId="61" w16cid:durableId="1909806984">
    <w:abstractNumId w:val="61"/>
  </w:num>
  <w:num w:numId="62" w16cid:durableId="1166283328">
    <w:abstractNumId w:val="24"/>
  </w:num>
  <w:num w:numId="63" w16cid:durableId="980622141">
    <w:abstractNumId w:val="46"/>
    <w:lvlOverride w:ilvl="0">
      <w:startOverride w:val="1"/>
    </w:lvlOverride>
  </w:num>
  <w:num w:numId="64" w16cid:durableId="82456188">
    <w:abstractNumId w:val="8"/>
    <w:lvlOverride w:ilvl="0">
      <w:startOverride w:val="1"/>
    </w:lvlOverride>
  </w:num>
  <w:num w:numId="65" w16cid:durableId="1959296222">
    <w:abstractNumId w:val="30"/>
    <w:lvlOverride w:ilvl="0">
      <w:startOverride w:val="1"/>
    </w:lvlOverride>
  </w:num>
  <w:num w:numId="66" w16cid:durableId="1976984141">
    <w:abstractNumId w:val="55"/>
    <w:lvlOverride w:ilvl="0">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D9"/>
    <w:rsid w:val="00012B32"/>
    <w:rsid w:val="00014E60"/>
    <w:rsid w:val="00052876"/>
    <w:rsid w:val="00087587"/>
    <w:rsid w:val="000D4E56"/>
    <w:rsid w:val="000E271D"/>
    <w:rsid w:val="0010025C"/>
    <w:rsid w:val="0012090A"/>
    <w:rsid w:val="00121D48"/>
    <w:rsid w:val="001634B0"/>
    <w:rsid w:val="001A5319"/>
    <w:rsid w:val="001B0774"/>
    <w:rsid w:val="001B5EA3"/>
    <w:rsid w:val="001E0E7A"/>
    <w:rsid w:val="001E32C6"/>
    <w:rsid w:val="0020272E"/>
    <w:rsid w:val="00221FAC"/>
    <w:rsid w:val="00225118"/>
    <w:rsid w:val="00233548"/>
    <w:rsid w:val="00233CC0"/>
    <w:rsid w:val="00275EA2"/>
    <w:rsid w:val="00281CBB"/>
    <w:rsid w:val="002B0983"/>
    <w:rsid w:val="002D1303"/>
    <w:rsid w:val="002D55EC"/>
    <w:rsid w:val="003133E6"/>
    <w:rsid w:val="003834DB"/>
    <w:rsid w:val="003C40FD"/>
    <w:rsid w:val="003E7F60"/>
    <w:rsid w:val="004421CB"/>
    <w:rsid w:val="0047630B"/>
    <w:rsid w:val="00496D3F"/>
    <w:rsid w:val="004C1D51"/>
    <w:rsid w:val="004D2F62"/>
    <w:rsid w:val="004F2E2B"/>
    <w:rsid w:val="004F4037"/>
    <w:rsid w:val="00537A41"/>
    <w:rsid w:val="00590C19"/>
    <w:rsid w:val="005A69FE"/>
    <w:rsid w:val="005C03EA"/>
    <w:rsid w:val="005C1DB4"/>
    <w:rsid w:val="0060457B"/>
    <w:rsid w:val="006237BF"/>
    <w:rsid w:val="0066744E"/>
    <w:rsid w:val="00673101"/>
    <w:rsid w:val="0070386B"/>
    <w:rsid w:val="00712FF9"/>
    <w:rsid w:val="0072400A"/>
    <w:rsid w:val="00737002"/>
    <w:rsid w:val="00745F15"/>
    <w:rsid w:val="00775565"/>
    <w:rsid w:val="007A0CC6"/>
    <w:rsid w:val="007B2530"/>
    <w:rsid w:val="007B55D9"/>
    <w:rsid w:val="007D0CC2"/>
    <w:rsid w:val="00815D44"/>
    <w:rsid w:val="00862A35"/>
    <w:rsid w:val="00883550"/>
    <w:rsid w:val="008934D6"/>
    <w:rsid w:val="008B7A03"/>
    <w:rsid w:val="008C5170"/>
    <w:rsid w:val="008D6506"/>
    <w:rsid w:val="008D6E39"/>
    <w:rsid w:val="009259C9"/>
    <w:rsid w:val="00925E21"/>
    <w:rsid w:val="0094070C"/>
    <w:rsid w:val="00944236"/>
    <w:rsid w:val="0098029D"/>
    <w:rsid w:val="00987B99"/>
    <w:rsid w:val="009D0B41"/>
    <w:rsid w:val="00A16589"/>
    <w:rsid w:val="00A40475"/>
    <w:rsid w:val="00AA6C32"/>
    <w:rsid w:val="00B0175E"/>
    <w:rsid w:val="00B068AC"/>
    <w:rsid w:val="00B61373"/>
    <w:rsid w:val="00B6379B"/>
    <w:rsid w:val="00B7101E"/>
    <w:rsid w:val="00B809DA"/>
    <w:rsid w:val="00B85ECC"/>
    <w:rsid w:val="00B97BE8"/>
    <w:rsid w:val="00BB6735"/>
    <w:rsid w:val="00BC349B"/>
    <w:rsid w:val="00BE604E"/>
    <w:rsid w:val="00BF3EA7"/>
    <w:rsid w:val="00BF6094"/>
    <w:rsid w:val="00C03B71"/>
    <w:rsid w:val="00C65FD9"/>
    <w:rsid w:val="00C96038"/>
    <w:rsid w:val="00CA1B65"/>
    <w:rsid w:val="00D061F5"/>
    <w:rsid w:val="00D53C4F"/>
    <w:rsid w:val="00D9778C"/>
    <w:rsid w:val="00DB2DAB"/>
    <w:rsid w:val="00E25C00"/>
    <w:rsid w:val="00EC705C"/>
    <w:rsid w:val="00F42BC7"/>
    <w:rsid w:val="00F55B8A"/>
    <w:rsid w:val="00F70149"/>
    <w:rsid w:val="00F73C35"/>
    <w:rsid w:val="00F77FCE"/>
    <w:rsid w:val="00FC0AA4"/>
    <w:rsid w:val="00FF3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F508"/>
  <w15:chartTrackingRefBased/>
  <w15:docId w15:val="{F1169439-F649-440F-97A8-02729A4F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094"/>
    <w:rPr>
      <w:rFonts w:ascii="Arial" w:hAnsi="Arial"/>
      <w:sz w:val="24"/>
    </w:rPr>
  </w:style>
  <w:style w:type="paragraph" w:styleId="Heading1">
    <w:name w:val="heading 1"/>
    <w:basedOn w:val="Normal"/>
    <w:next w:val="Normal"/>
    <w:link w:val="Heading1Char"/>
    <w:uiPriority w:val="9"/>
    <w:qFormat/>
    <w:rsid w:val="00BE604E"/>
    <w:pPr>
      <w:keepNext/>
      <w:keepLines/>
      <w:spacing w:before="240" w:after="0"/>
      <w:outlineLvl w:val="0"/>
    </w:pPr>
    <w:rPr>
      <w:rFonts w:eastAsiaTheme="majorEastAsia" w:cstheme="majorBidi"/>
      <w:b/>
      <w:color w:val="2F5496" w:themeColor="accent1" w:themeShade="BF"/>
      <w:sz w:val="36"/>
      <w:szCs w:val="32"/>
    </w:rPr>
  </w:style>
  <w:style w:type="paragraph" w:styleId="Heading2">
    <w:name w:val="heading 2"/>
    <w:basedOn w:val="Normal"/>
    <w:link w:val="Heading2Char"/>
    <w:uiPriority w:val="9"/>
    <w:qFormat/>
    <w:rsid w:val="005A69FE"/>
    <w:pPr>
      <w:spacing w:before="100" w:beforeAutospacing="1" w:after="100" w:afterAutospacing="1" w:line="240" w:lineRule="auto"/>
      <w:outlineLvl w:val="1"/>
    </w:pPr>
    <w:rPr>
      <w:rFonts w:eastAsia="Times New Roman" w:cs="Times New Roman"/>
      <w:b/>
      <w:bCs/>
      <w:color w:val="0070C0"/>
      <w:sz w:val="32"/>
      <w:szCs w:val="36"/>
      <w:lang w:eastAsia="en-AU"/>
    </w:rPr>
  </w:style>
  <w:style w:type="paragraph" w:styleId="Heading3">
    <w:name w:val="heading 3"/>
    <w:basedOn w:val="Normal"/>
    <w:next w:val="Normal"/>
    <w:link w:val="Heading3Char"/>
    <w:uiPriority w:val="9"/>
    <w:unhideWhenUsed/>
    <w:qFormat/>
    <w:rsid w:val="00E25C00"/>
    <w:pPr>
      <w:keepNext/>
      <w:keepLines/>
      <w:spacing w:before="40" w:after="0"/>
      <w:outlineLvl w:val="2"/>
    </w:pPr>
    <w:rPr>
      <w:rFonts w:eastAsiaTheme="majorEastAsia" w:cstheme="majorBidi"/>
      <w:b/>
      <w:color w:val="2F5496" w:themeColor="accent1" w:themeShade="BF"/>
      <w:sz w:val="28"/>
      <w:szCs w:val="24"/>
    </w:rPr>
  </w:style>
  <w:style w:type="paragraph" w:styleId="Heading4">
    <w:name w:val="heading 4"/>
    <w:basedOn w:val="Normal"/>
    <w:next w:val="Normal"/>
    <w:link w:val="Heading4Char"/>
    <w:uiPriority w:val="9"/>
    <w:unhideWhenUsed/>
    <w:qFormat/>
    <w:rsid w:val="00E25C00"/>
    <w:pPr>
      <w:keepNext/>
      <w:keepLines/>
      <w:spacing w:before="40" w:after="0"/>
      <w:outlineLvl w:val="3"/>
    </w:pPr>
    <w:rPr>
      <w:rFonts w:eastAsiaTheme="majorEastAsia" w:cstheme="majorBidi"/>
      <w:b/>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9FE"/>
    <w:pPr>
      <w:spacing w:after="0" w:line="240" w:lineRule="auto"/>
      <w:contextualSpacing/>
      <w:jc w:val="center"/>
    </w:pPr>
    <w:rPr>
      <w:rFonts w:eastAsiaTheme="majorEastAsia" w:cstheme="majorBidi"/>
      <w:b/>
      <w:color w:val="0070C0"/>
      <w:spacing w:val="-10"/>
      <w:kern w:val="28"/>
      <w:sz w:val="56"/>
      <w:szCs w:val="56"/>
    </w:rPr>
  </w:style>
  <w:style w:type="character" w:customStyle="1" w:styleId="TitleChar">
    <w:name w:val="Title Char"/>
    <w:basedOn w:val="DefaultParagraphFont"/>
    <w:link w:val="Title"/>
    <w:uiPriority w:val="10"/>
    <w:rsid w:val="005A69FE"/>
    <w:rPr>
      <w:rFonts w:ascii="Arial" w:eastAsiaTheme="majorEastAsia" w:hAnsi="Arial" w:cstheme="majorBidi"/>
      <w:b/>
      <w:color w:val="0070C0"/>
      <w:spacing w:val="-10"/>
      <w:kern w:val="28"/>
      <w:sz w:val="56"/>
      <w:szCs w:val="56"/>
    </w:rPr>
  </w:style>
  <w:style w:type="character" w:customStyle="1" w:styleId="Heading2Char">
    <w:name w:val="Heading 2 Char"/>
    <w:basedOn w:val="DefaultParagraphFont"/>
    <w:link w:val="Heading2"/>
    <w:uiPriority w:val="9"/>
    <w:rsid w:val="005A69FE"/>
    <w:rPr>
      <w:rFonts w:ascii="Arial" w:eastAsia="Times New Roman" w:hAnsi="Arial" w:cs="Times New Roman"/>
      <w:b/>
      <w:bCs/>
      <w:color w:val="0070C0"/>
      <w:sz w:val="32"/>
      <w:szCs w:val="36"/>
      <w:lang w:eastAsia="en-AU"/>
    </w:rPr>
  </w:style>
  <w:style w:type="character" w:customStyle="1" w:styleId="Heading3Char">
    <w:name w:val="Heading 3 Char"/>
    <w:basedOn w:val="DefaultParagraphFont"/>
    <w:link w:val="Heading3"/>
    <w:uiPriority w:val="9"/>
    <w:rsid w:val="00E25C00"/>
    <w:rPr>
      <w:rFonts w:ascii="Arial" w:eastAsiaTheme="majorEastAsia" w:hAnsi="Arial" w:cstheme="majorBidi"/>
      <w:b/>
      <w:color w:val="2F5496" w:themeColor="accent1" w:themeShade="BF"/>
      <w:sz w:val="28"/>
      <w:szCs w:val="24"/>
    </w:rPr>
  </w:style>
  <w:style w:type="character" w:customStyle="1" w:styleId="Heading1Char">
    <w:name w:val="Heading 1 Char"/>
    <w:basedOn w:val="DefaultParagraphFont"/>
    <w:link w:val="Heading1"/>
    <w:uiPriority w:val="9"/>
    <w:rsid w:val="00BE604E"/>
    <w:rPr>
      <w:rFonts w:ascii="Arial" w:eastAsiaTheme="majorEastAsia" w:hAnsi="Arial" w:cstheme="majorBidi"/>
      <w:b/>
      <w:color w:val="2F5496" w:themeColor="accent1" w:themeShade="BF"/>
      <w:sz w:val="36"/>
      <w:szCs w:val="32"/>
    </w:rPr>
  </w:style>
  <w:style w:type="character" w:customStyle="1" w:styleId="Heading4Char">
    <w:name w:val="Heading 4 Char"/>
    <w:basedOn w:val="DefaultParagraphFont"/>
    <w:link w:val="Heading4"/>
    <w:uiPriority w:val="9"/>
    <w:rsid w:val="00E25C00"/>
    <w:rPr>
      <w:rFonts w:ascii="Arial" w:eastAsiaTheme="majorEastAsia" w:hAnsi="Arial" w:cstheme="majorBidi"/>
      <w:b/>
      <w:i/>
      <w:iCs/>
      <w:color w:val="2F5496" w:themeColor="accent1" w:themeShade="BF"/>
      <w:sz w:val="24"/>
    </w:rPr>
  </w:style>
  <w:style w:type="paragraph" w:styleId="NormalWeb">
    <w:name w:val="Normal (Web)"/>
    <w:basedOn w:val="Normal"/>
    <w:uiPriority w:val="99"/>
    <w:unhideWhenUsed/>
    <w:rsid w:val="007B55D9"/>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bsolute">
    <w:name w:val="absolute"/>
    <w:basedOn w:val="DefaultParagraphFont"/>
    <w:rsid w:val="007B55D9"/>
  </w:style>
  <w:style w:type="paragraph" w:styleId="z-TopofForm">
    <w:name w:val="HTML Top of Form"/>
    <w:basedOn w:val="Normal"/>
    <w:next w:val="Normal"/>
    <w:link w:val="z-TopofFormChar"/>
    <w:hidden/>
    <w:uiPriority w:val="99"/>
    <w:semiHidden/>
    <w:unhideWhenUsed/>
    <w:rsid w:val="00C65FD9"/>
    <w:pPr>
      <w:pBdr>
        <w:bottom w:val="single" w:sz="6" w:space="1" w:color="auto"/>
      </w:pBdr>
      <w:spacing w:after="0" w:line="240" w:lineRule="auto"/>
      <w:jc w:val="center"/>
    </w:pPr>
    <w:rPr>
      <w:rFonts w:eastAsia="Times New Roman" w:cs="Arial"/>
      <w:vanish/>
      <w:sz w:val="16"/>
      <w:szCs w:val="16"/>
      <w:lang w:eastAsia="en-AU"/>
    </w:rPr>
  </w:style>
  <w:style w:type="character" w:customStyle="1" w:styleId="z-TopofFormChar">
    <w:name w:val="z-Top of Form Char"/>
    <w:basedOn w:val="DefaultParagraphFont"/>
    <w:link w:val="z-TopofForm"/>
    <w:uiPriority w:val="99"/>
    <w:semiHidden/>
    <w:rsid w:val="00C65FD9"/>
    <w:rPr>
      <w:rFonts w:ascii="Arial" w:eastAsia="Times New Roman" w:hAnsi="Arial" w:cs="Arial"/>
      <w:vanish/>
      <w:sz w:val="16"/>
      <w:szCs w:val="16"/>
      <w:lang w:eastAsia="en-AU"/>
    </w:rPr>
  </w:style>
  <w:style w:type="paragraph" w:styleId="ListParagraph">
    <w:name w:val="List Paragraph"/>
    <w:basedOn w:val="Normal"/>
    <w:uiPriority w:val="1"/>
    <w:qFormat/>
    <w:rsid w:val="00B61373"/>
    <w:pPr>
      <w:ind w:left="720"/>
      <w:contextualSpacing/>
    </w:pPr>
  </w:style>
  <w:style w:type="paragraph" w:styleId="TOCHeading">
    <w:name w:val="TOC Heading"/>
    <w:basedOn w:val="Heading1"/>
    <w:next w:val="Normal"/>
    <w:uiPriority w:val="39"/>
    <w:unhideWhenUsed/>
    <w:qFormat/>
    <w:rsid w:val="003133E6"/>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BB6735"/>
    <w:pPr>
      <w:tabs>
        <w:tab w:val="right" w:leader="dot" w:pos="9016"/>
      </w:tabs>
      <w:spacing w:after="100"/>
    </w:pPr>
    <w:rPr>
      <w:b/>
      <w:bCs/>
      <w:noProof/>
      <w:lang w:val="en-US"/>
    </w:rPr>
  </w:style>
  <w:style w:type="paragraph" w:styleId="TOC3">
    <w:name w:val="toc 3"/>
    <w:basedOn w:val="Normal"/>
    <w:next w:val="Normal"/>
    <w:autoRedefine/>
    <w:uiPriority w:val="39"/>
    <w:unhideWhenUsed/>
    <w:rsid w:val="00496D3F"/>
    <w:pPr>
      <w:tabs>
        <w:tab w:val="right" w:leader="dot" w:pos="9016"/>
      </w:tabs>
      <w:spacing w:after="100"/>
      <w:ind w:left="480"/>
    </w:pPr>
    <w:rPr>
      <w:rFonts w:eastAsia="Times New Roman" w:cs="Arial"/>
      <w:b/>
      <w:bCs/>
      <w:noProof/>
      <w:lang w:eastAsia="en-AU"/>
    </w:rPr>
  </w:style>
  <w:style w:type="character" w:styleId="Hyperlink">
    <w:name w:val="Hyperlink"/>
    <w:basedOn w:val="DefaultParagraphFont"/>
    <w:uiPriority w:val="99"/>
    <w:unhideWhenUsed/>
    <w:rsid w:val="003133E6"/>
    <w:rPr>
      <w:color w:val="0563C1" w:themeColor="hyperlink"/>
      <w:u w:val="single"/>
    </w:rPr>
  </w:style>
  <w:style w:type="paragraph" w:styleId="TOC2">
    <w:name w:val="toc 2"/>
    <w:basedOn w:val="Normal"/>
    <w:next w:val="Normal"/>
    <w:autoRedefine/>
    <w:uiPriority w:val="39"/>
    <w:unhideWhenUsed/>
    <w:rsid w:val="00EC705C"/>
    <w:pPr>
      <w:tabs>
        <w:tab w:val="right" w:leader="dot" w:pos="9016"/>
      </w:tabs>
      <w:spacing w:after="100"/>
      <w:ind w:left="220"/>
    </w:pPr>
    <w:rPr>
      <w:rFonts w:asciiTheme="minorHAnsi" w:eastAsiaTheme="minorEastAsia" w:hAnsiTheme="minorHAnsi" w:cs="Times New Roman"/>
      <w:noProof/>
      <w:szCs w:val="24"/>
      <w:lang w:val="en-US"/>
    </w:rPr>
  </w:style>
  <w:style w:type="paragraph" w:styleId="TOC4">
    <w:name w:val="toc 4"/>
    <w:basedOn w:val="Normal"/>
    <w:next w:val="Normal"/>
    <w:autoRedefine/>
    <w:uiPriority w:val="39"/>
    <w:unhideWhenUsed/>
    <w:rsid w:val="003133E6"/>
    <w:pPr>
      <w:spacing w:after="100"/>
      <w:ind w:left="720"/>
    </w:pPr>
  </w:style>
  <w:style w:type="character" w:styleId="UnresolvedMention">
    <w:name w:val="Unresolved Mention"/>
    <w:basedOn w:val="DefaultParagraphFont"/>
    <w:uiPriority w:val="99"/>
    <w:semiHidden/>
    <w:unhideWhenUsed/>
    <w:rsid w:val="00B85ECC"/>
    <w:rPr>
      <w:color w:val="605E5C"/>
      <w:shd w:val="clear" w:color="auto" w:fill="E1DFDD"/>
    </w:rPr>
  </w:style>
  <w:style w:type="character" w:styleId="Emphasis">
    <w:name w:val="Emphasis"/>
    <w:basedOn w:val="DefaultParagraphFont"/>
    <w:uiPriority w:val="20"/>
    <w:qFormat/>
    <w:rsid w:val="00B97BE8"/>
    <w:rPr>
      <w:i/>
      <w:iCs/>
    </w:rPr>
  </w:style>
  <w:style w:type="paragraph" w:styleId="NoSpacing">
    <w:name w:val="No Spacing"/>
    <w:uiPriority w:val="1"/>
    <w:qFormat/>
    <w:rsid w:val="00B97BE8"/>
    <w:pPr>
      <w:spacing w:after="0" w:line="240" w:lineRule="auto"/>
    </w:pPr>
  </w:style>
  <w:style w:type="character" w:customStyle="1" w:styleId="css-r5ob3t-styledarticlebylineauthor">
    <w:name w:val="css-r5ob3t-styledarticlebylineauthor"/>
    <w:basedOn w:val="DefaultParagraphFont"/>
    <w:rsid w:val="00AA6C32"/>
  </w:style>
  <w:style w:type="paragraph" w:customStyle="1" w:styleId="gfont-body-l">
    <w:name w:val="g_font-body-l"/>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t-span">
    <w:name w:val="ct-span"/>
    <w:basedOn w:val="DefaultParagraphFont"/>
    <w:rsid w:val="00AA6C32"/>
  </w:style>
  <w:style w:type="paragraph" w:customStyle="1" w:styleId="au-introduction">
    <w:name w:val="au-introduction"/>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day">
    <w:name w:val="day"/>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uthor">
    <w:name w:val="author"/>
    <w:basedOn w:val="Normal"/>
    <w:rsid w:val="00AA6C32"/>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ytllr">
    <w:name w:val="ytllr"/>
    <w:basedOn w:val="DefaultParagraphFont"/>
    <w:rsid w:val="00AA6C32"/>
  </w:style>
  <w:style w:type="character" w:customStyle="1" w:styleId="field">
    <w:name w:val="field"/>
    <w:basedOn w:val="DefaultParagraphFont"/>
    <w:rsid w:val="00AA6C32"/>
  </w:style>
  <w:style w:type="paragraph" w:styleId="Header">
    <w:name w:val="header"/>
    <w:basedOn w:val="Normal"/>
    <w:link w:val="HeaderChar"/>
    <w:uiPriority w:val="99"/>
    <w:unhideWhenUsed/>
    <w:rsid w:val="00B80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9DA"/>
    <w:rPr>
      <w:rFonts w:ascii="Arial" w:hAnsi="Arial"/>
      <w:sz w:val="24"/>
    </w:rPr>
  </w:style>
  <w:style w:type="paragraph" w:styleId="Footer">
    <w:name w:val="footer"/>
    <w:basedOn w:val="Normal"/>
    <w:link w:val="FooterChar"/>
    <w:uiPriority w:val="99"/>
    <w:unhideWhenUsed/>
    <w:rsid w:val="00B80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9DA"/>
    <w:rPr>
      <w:rFonts w:ascii="Arial" w:hAnsi="Arial"/>
      <w:sz w:val="24"/>
    </w:rPr>
  </w:style>
  <w:style w:type="paragraph" w:styleId="z-BottomofForm">
    <w:name w:val="HTML Bottom of Form"/>
    <w:basedOn w:val="Normal"/>
    <w:next w:val="Normal"/>
    <w:link w:val="z-BottomofFormChar"/>
    <w:hidden/>
    <w:uiPriority w:val="99"/>
    <w:semiHidden/>
    <w:unhideWhenUsed/>
    <w:rsid w:val="0012090A"/>
    <w:pPr>
      <w:pBdr>
        <w:top w:val="single" w:sz="6" w:space="1" w:color="auto"/>
      </w:pBdr>
      <w:spacing w:after="0" w:line="240" w:lineRule="auto"/>
      <w:jc w:val="center"/>
    </w:pPr>
    <w:rPr>
      <w:rFonts w:eastAsia="Times New Roman" w:cs="Arial"/>
      <w:vanish/>
      <w:sz w:val="16"/>
      <w:szCs w:val="16"/>
      <w:lang w:eastAsia="en-AU"/>
    </w:rPr>
  </w:style>
  <w:style w:type="character" w:customStyle="1" w:styleId="z-BottomofFormChar">
    <w:name w:val="z-Bottom of Form Char"/>
    <w:basedOn w:val="DefaultParagraphFont"/>
    <w:link w:val="z-BottomofForm"/>
    <w:uiPriority w:val="99"/>
    <w:semiHidden/>
    <w:rsid w:val="0012090A"/>
    <w:rPr>
      <w:rFonts w:ascii="Arial" w:eastAsia="Times New Roman" w:hAnsi="Arial" w:cs="Arial"/>
      <w:vanish/>
      <w:sz w:val="16"/>
      <w:szCs w:val="16"/>
      <w:lang w:eastAsia="en-AU"/>
    </w:rPr>
  </w:style>
  <w:style w:type="character" w:customStyle="1" w:styleId="aq14fc">
    <w:name w:val="aq14fc"/>
    <w:basedOn w:val="DefaultParagraphFont"/>
    <w:rsid w:val="0012090A"/>
  </w:style>
  <w:style w:type="character" w:customStyle="1" w:styleId="hqzqac">
    <w:name w:val="hqzqac"/>
    <w:basedOn w:val="DefaultParagraphFont"/>
    <w:rsid w:val="0012090A"/>
  </w:style>
  <w:style w:type="character" w:customStyle="1" w:styleId="yhemcb">
    <w:name w:val="yhemcb"/>
    <w:basedOn w:val="DefaultParagraphFont"/>
    <w:rsid w:val="0012090A"/>
  </w:style>
  <w:style w:type="character" w:customStyle="1" w:styleId="w8qarf">
    <w:name w:val="w8qarf"/>
    <w:basedOn w:val="DefaultParagraphFont"/>
    <w:rsid w:val="0012090A"/>
  </w:style>
  <w:style w:type="character" w:customStyle="1" w:styleId="lrzxr">
    <w:name w:val="lrzxr"/>
    <w:basedOn w:val="DefaultParagraphFont"/>
    <w:rsid w:val="0012090A"/>
  </w:style>
  <w:style w:type="character" w:customStyle="1" w:styleId="jjswrd">
    <w:name w:val="jjswrd"/>
    <w:basedOn w:val="DefaultParagraphFont"/>
    <w:rsid w:val="0012090A"/>
  </w:style>
  <w:style w:type="character" w:customStyle="1" w:styleId="home-call-us-number">
    <w:name w:val="home-call-us-number"/>
    <w:basedOn w:val="DefaultParagraphFont"/>
    <w:rsid w:val="0012090A"/>
  </w:style>
  <w:style w:type="character" w:styleId="FollowedHyperlink">
    <w:name w:val="FollowedHyperlink"/>
    <w:basedOn w:val="DefaultParagraphFont"/>
    <w:uiPriority w:val="99"/>
    <w:semiHidden/>
    <w:unhideWhenUsed/>
    <w:rsid w:val="00C96038"/>
    <w:rPr>
      <w:color w:val="954F72" w:themeColor="followedHyperlink"/>
      <w:u w:val="single"/>
    </w:rPr>
  </w:style>
  <w:style w:type="character" w:styleId="Strong">
    <w:name w:val="Strong"/>
    <w:basedOn w:val="DefaultParagraphFont"/>
    <w:uiPriority w:val="22"/>
    <w:qFormat/>
    <w:rsid w:val="00C96038"/>
    <w:rPr>
      <w:b/>
      <w:bCs/>
    </w:rPr>
  </w:style>
  <w:style w:type="paragraph" w:customStyle="1" w:styleId="active">
    <w:name w:val="active"/>
    <w:basedOn w:val="Normal"/>
    <w:rsid w:val="00B6379B"/>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u-page-alerts">
    <w:name w:val="au-page-alerts"/>
    <w:basedOn w:val="Normal"/>
    <w:rsid w:val="00B6379B"/>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desc">
    <w:name w:val="desc"/>
    <w:basedOn w:val="Normal"/>
    <w:rsid w:val="00B6379B"/>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related-info-item">
    <w:name w:val="related-info-item"/>
    <w:basedOn w:val="Normal"/>
    <w:rsid w:val="00CA1B65"/>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TMLCite">
    <w:name w:val="HTML Cite"/>
    <w:basedOn w:val="DefaultParagraphFont"/>
    <w:uiPriority w:val="99"/>
    <w:semiHidden/>
    <w:unhideWhenUsed/>
    <w:rsid w:val="004C1D51"/>
    <w:rPr>
      <w:i/>
      <w:iCs/>
    </w:rPr>
  </w:style>
  <w:style w:type="paragraph" w:customStyle="1" w:styleId="landing-linksitem">
    <w:name w:val="landing-links__item"/>
    <w:basedOn w:val="Normal"/>
    <w:rsid w:val="004C1D5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file-summary-info">
    <w:name w:val="file-summary-info"/>
    <w:basedOn w:val="DefaultParagraphFont"/>
    <w:rsid w:val="004C1D51"/>
  </w:style>
  <w:style w:type="paragraph" w:customStyle="1" w:styleId="msonormal0">
    <w:name w:val="msonormal"/>
    <w:basedOn w:val="Normal"/>
    <w:rsid w:val="004C1D51"/>
    <w:pPr>
      <w:spacing w:before="100" w:beforeAutospacing="1" w:after="100" w:afterAutospacing="1" w:line="240" w:lineRule="auto"/>
    </w:pPr>
    <w:rPr>
      <w:rFonts w:ascii="Times New Roman" w:eastAsia="Times New Roman" w:hAnsi="Times New Roman" w:cs="Times New Roman"/>
      <w:szCs w:val="24"/>
      <w:lang w:eastAsia="en-AU"/>
    </w:rPr>
  </w:style>
  <w:style w:type="paragraph" w:styleId="BodyText">
    <w:name w:val="Body Text"/>
    <w:basedOn w:val="Normal"/>
    <w:link w:val="BodyTextChar"/>
    <w:uiPriority w:val="1"/>
    <w:unhideWhenUsed/>
    <w:qFormat/>
    <w:rsid w:val="004C1D51"/>
    <w:pPr>
      <w:widowControl w:val="0"/>
      <w:autoSpaceDE w:val="0"/>
      <w:autoSpaceDN w:val="0"/>
      <w:spacing w:after="0" w:line="240" w:lineRule="auto"/>
    </w:pPr>
    <w:rPr>
      <w:rFonts w:eastAsia="Arial" w:cs="Arial"/>
      <w:sz w:val="20"/>
      <w:szCs w:val="20"/>
      <w:lang w:val="en-US"/>
    </w:rPr>
  </w:style>
  <w:style w:type="character" w:customStyle="1" w:styleId="BodyTextChar">
    <w:name w:val="Body Text Char"/>
    <w:basedOn w:val="DefaultParagraphFont"/>
    <w:link w:val="BodyText"/>
    <w:uiPriority w:val="1"/>
    <w:rsid w:val="004C1D51"/>
    <w:rPr>
      <w:rFonts w:ascii="Arial" w:eastAsia="Arial" w:hAnsi="Arial" w:cs="Arial"/>
      <w:sz w:val="20"/>
      <w:szCs w:val="20"/>
      <w:lang w:val="en-US"/>
    </w:rPr>
  </w:style>
  <w:style w:type="paragraph" w:customStyle="1" w:styleId="TableParagraph">
    <w:name w:val="Table Paragraph"/>
    <w:basedOn w:val="Normal"/>
    <w:uiPriority w:val="1"/>
    <w:qFormat/>
    <w:rsid w:val="004C1D51"/>
    <w:pPr>
      <w:widowControl w:val="0"/>
      <w:autoSpaceDE w:val="0"/>
      <w:autoSpaceDN w:val="0"/>
      <w:spacing w:after="0" w:line="240" w:lineRule="auto"/>
    </w:pPr>
    <w:rPr>
      <w:rFonts w:eastAsia="Arial" w:cs="Arial"/>
      <w:sz w:val="22"/>
      <w:lang w:val="en-US"/>
    </w:rPr>
  </w:style>
  <w:style w:type="character" w:customStyle="1" w:styleId="block-article-bannerauthor-date">
    <w:name w:val="block-article-banner__author-date"/>
    <w:basedOn w:val="DefaultParagraphFont"/>
    <w:rsid w:val="00233CC0"/>
  </w:style>
  <w:style w:type="character" w:customStyle="1" w:styleId="layouttitle-text">
    <w:name w:val="layout__title-text"/>
    <w:basedOn w:val="DefaultParagraphFont"/>
    <w:rsid w:val="00233CC0"/>
  </w:style>
  <w:style w:type="paragraph" w:customStyle="1" w:styleId="large-text">
    <w:name w:val="large-text"/>
    <w:basedOn w:val="Normal"/>
    <w:rsid w:val="00233CC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block-anchor-listtitle-text">
    <w:name w:val="block-anchor-list__title-text"/>
    <w:basedOn w:val="DefaultParagraphFont"/>
    <w:rsid w:val="00233CC0"/>
  </w:style>
  <w:style w:type="paragraph" w:customStyle="1" w:styleId="block-anchor-listlist-item">
    <w:name w:val="block-anchor-list__list-item"/>
    <w:basedOn w:val="Normal"/>
    <w:rsid w:val="00233CC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block-anchor-listlist-itemlink-text">
    <w:name w:val="block-anchor-list__list-item__link-text"/>
    <w:basedOn w:val="DefaultParagraphFont"/>
    <w:rsid w:val="00233CC0"/>
  </w:style>
  <w:style w:type="character" w:customStyle="1" w:styleId="block-anchorlink-text">
    <w:name w:val="block-anchor__link-text"/>
    <w:basedOn w:val="DefaultParagraphFont"/>
    <w:rsid w:val="00233CC0"/>
  </w:style>
  <w:style w:type="paragraph" w:styleId="TOC5">
    <w:name w:val="toc 5"/>
    <w:basedOn w:val="Normal"/>
    <w:next w:val="Normal"/>
    <w:autoRedefine/>
    <w:uiPriority w:val="39"/>
    <w:unhideWhenUsed/>
    <w:rsid w:val="0094070C"/>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94070C"/>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94070C"/>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94070C"/>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94070C"/>
    <w:pPr>
      <w:spacing w:after="100"/>
      <w:ind w:left="1760"/>
    </w:pPr>
    <w:rPr>
      <w:rFonts w:asciiTheme="minorHAnsi" w:eastAsiaTheme="minorEastAsia" w:hAnsiTheme="minorHAnsi"/>
      <w:sz w:val="22"/>
      <w:lang w:eastAsia="en-AU"/>
    </w:rPr>
  </w:style>
  <w:style w:type="paragraph" w:styleId="FootnoteText">
    <w:name w:val="footnote text"/>
    <w:basedOn w:val="Normal"/>
    <w:link w:val="FootnoteTextChar"/>
    <w:uiPriority w:val="99"/>
    <w:semiHidden/>
    <w:unhideWhenUsed/>
    <w:rsid w:val="00D977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778C"/>
    <w:rPr>
      <w:rFonts w:ascii="Arial" w:hAnsi="Arial"/>
      <w:sz w:val="20"/>
      <w:szCs w:val="20"/>
    </w:rPr>
  </w:style>
  <w:style w:type="character" w:styleId="FootnoteReference">
    <w:name w:val="footnote reference"/>
    <w:basedOn w:val="DefaultParagraphFont"/>
    <w:uiPriority w:val="99"/>
    <w:semiHidden/>
    <w:unhideWhenUsed/>
    <w:rsid w:val="00D9778C"/>
    <w:rPr>
      <w:vertAlign w:val="superscript"/>
    </w:rPr>
  </w:style>
  <w:style w:type="character" w:customStyle="1" w:styleId="footnotes-number">
    <w:name w:val="footnotes-number"/>
    <w:basedOn w:val="DefaultParagraphFont"/>
    <w:rsid w:val="00F77FCE"/>
  </w:style>
  <w:style w:type="character" w:customStyle="1" w:styleId="sr-only">
    <w:name w:val="sr-only"/>
    <w:basedOn w:val="DefaultParagraphFont"/>
    <w:rsid w:val="00F77FCE"/>
  </w:style>
  <w:style w:type="paragraph" w:styleId="BodyText2">
    <w:name w:val="Body Text 2"/>
    <w:basedOn w:val="Normal"/>
    <w:link w:val="BodyText2Char"/>
    <w:uiPriority w:val="99"/>
    <w:semiHidden/>
    <w:unhideWhenUsed/>
    <w:rsid w:val="00275EA2"/>
    <w:pPr>
      <w:spacing w:after="120" w:line="480" w:lineRule="auto"/>
    </w:pPr>
  </w:style>
  <w:style w:type="character" w:customStyle="1" w:styleId="BodyText2Char">
    <w:name w:val="Body Text 2 Char"/>
    <w:basedOn w:val="DefaultParagraphFont"/>
    <w:link w:val="BodyText2"/>
    <w:uiPriority w:val="99"/>
    <w:semiHidden/>
    <w:rsid w:val="00275EA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140">
      <w:bodyDiv w:val="1"/>
      <w:marLeft w:val="0"/>
      <w:marRight w:val="0"/>
      <w:marTop w:val="0"/>
      <w:marBottom w:val="0"/>
      <w:divBdr>
        <w:top w:val="none" w:sz="0" w:space="0" w:color="auto"/>
        <w:left w:val="none" w:sz="0" w:space="0" w:color="auto"/>
        <w:bottom w:val="none" w:sz="0" w:space="0" w:color="auto"/>
        <w:right w:val="none" w:sz="0" w:space="0" w:color="auto"/>
      </w:divBdr>
      <w:divsChild>
        <w:div w:id="1812364693">
          <w:marLeft w:val="0"/>
          <w:marRight w:val="0"/>
          <w:marTop w:val="0"/>
          <w:marBottom w:val="0"/>
          <w:divBdr>
            <w:top w:val="single" w:sz="2" w:space="0" w:color="auto"/>
            <w:left w:val="single" w:sz="2" w:space="0" w:color="auto"/>
            <w:bottom w:val="single" w:sz="6" w:space="0" w:color="auto"/>
            <w:right w:val="single" w:sz="2" w:space="0" w:color="auto"/>
          </w:divBdr>
          <w:divsChild>
            <w:div w:id="454105696">
              <w:marLeft w:val="0"/>
              <w:marRight w:val="0"/>
              <w:marTop w:val="100"/>
              <w:marBottom w:val="100"/>
              <w:divBdr>
                <w:top w:val="single" w:sz="2" w:space="0" w:color="D9D9E3"/>
                <w:left w:val="single" w:sz="2" w:space="0" w:color="D9D9E3"/>
                <w:bottom w:val="single" w:sz="2" w:space="0" w:color="D9D9E3"/>
                <w:right w:val="single" w:sz="2" w:space="0" w:color="D9D9E3"/>
              </w:divBdr>
              <w:divsChild>
                <w:div w:id="531042002">
                  <w:marLeft w:val="0"/>
                  <w:marRight w:val="0"/>
                  <w:marTop w:val="0"/>
                  <w:marBottom w:val="0"/>
                  <w:divBdr>
                    <w:top w:val="single" w:sz="2" w:space="0" w:color="D9D9E3"/>
                    <w:left w:val="single" w:sz="2" w:space="0" w:color="D9D9E3"/>
                    <w:bottom w:val="single" w:sz="2" w:space="0" w:color="D9D9E3"/>
                    <w:right w:val="single" w:sz="2" w:space="0" w:color="D9D9E3"/>
                  </w:divBdr>
                  <w:divsChild>
                    <w:div w:id="189268432">
                      <w:marLeft w:val="0"/>
                      <w:marRight w:val="0"/>
                      <w:marTop w:val="0"/>
                      <w:marBottom w:val="0"/>
                      <w:divBdr>
                        <w:top w:val="single" w:sz="2" w:space="0" w:color="D9D9E3"/>
                        <w:left w:val="single" w:sz="2" w:space="0" w:color="D9D9E3"/>
                        <w:bottom w:val="single" w:sz="2" w:space="0" w:color="D9D9E3"/>
                        <w:right w:val="single" w:sz="2" w:space="0" w:color="D9D9E3"/>
                      </w:divBdr>
                      <w:divsChild>
                        <w:div w:id="39404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80575967">
          <w:marLeft w:val="0"/>
          <w:marRight w:val="0"/>
          <w:marTop w:val="0"/>
          <w:marBottom w:val="0"/>
          <w:divBdr>
            <w:top w:val="single" w:sz="2" w:space="0" w:color="auto"/>
            <w:left w:val="single" w:sz="2" w:space="0" w:color="auto"/>
            <w:bottom w:val="single" w:sz="6" w:space="0" w:color="auto"/>
            <w:right w:val="single" w:sz="2" w:space="0" w:color="auto"/>
          </w:divBdr>
          <w:divsChild>
            <w:div w:id="733747101">
              <w:marLeft w:val="0"/>
              <w:marRight w:val="0"/>
              <w:marTop w:val="100"/>
              <w:marBottom w:val="100"/>
              <w:divBdr>
                <w:top w:val="single" w:sz="2" w:space="0" w:color="D9D9E3"/>
                <w:left w:val="single" w:sz="2" w:space="0" w:color="D9D9E3"/>
                <w:bottom w:val="single" w:sz="2" w:space="0" w:color="D9D9E3"/>
                <w:right w:val="single" w:sz="2" w:space="0" w:color="D9D9E3"/>
              </w:divBdr>
              <w:divsChild>
                <w:div w:id="1950890252">
                  <w:marLeft w:val="0"/>
                  <w:marRight w:val="0"/>
                  <w:marTop w:val="0"/>
                  <w:marBottom w:val="0"/>
                  <w:divBdr>
                    <w:top w:val="single" w:sz="2" w:space="0" w:color="D9D9E3"/>
                    <w:left w:val="single" w:sz="2" w:space="0" w:color="D9D9E3"/>
                    <w:bottom w:val="single" w:sz="2" w:space="0" w:color="D9D9E3"/>
                    <w:right w:val="single" w:sz="2" w:space="0" w:color="D9D9E3"/>
                  </w:divBdr>
                  <w:divsChild>
                    <w:div w:id="572395597">
                      <w:marLeft w:val="0"/>
                      <w:marRight w:val="0"/>
                      <w:marTop w:val="0"/>
                      <w:marBottom w:val="0"/>
                      <w:divBdr>
                        <w:top w:val="single" w:sz="2" w:space="0" w:color="D9D9E3"/>
                        <w:left w:val="single" w:sz="2" w:space="0" w:color="D9D9E3"/>
                        <w:bottom w:val="single" w:sz="2" w:space="0" w:color="D9D9E3"/>
                        <w:right w:val="single" w:sz="2" w:space="0" w:color="D9D9E3"/>
                      </w:divBdr>
                      <w:divsChild>
                        <w:div w:id="1467820106">
                          <w:marLeft w:val="0"/>
                          <w:marRight w:val="0"/>
                          <w:marTop w:val="0"/>
                          <w:marBottom w:val="0"/>
                          <w:divBdr>
                            <w:top w:val="single" w:sz="2" w:space="0" w:color="D9D9E3"/>
                            <w:left w:val="single" w:sz="2" w:space="0" w:color="D9D9E3"/>
                            <w:bottom w:val="single" w:sz="2" w:space="0" w:color="D9D9E3"/>
                            <w:right w:val="single" w:sz="2" w:space="0" w:color="D9D9E3"/>
                          </w:divBdr>
                          <w:divsChild>
                            <w:div w:id="2034064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677713">
      <w:bodyDiv w:val="1"/>
      <w:marLeft w:val="0"/>
      <w:marRight w:val="0"/>
      <w:marTop w:val="0"/>
      <w:marBottom w:val="0"/>
      <w:divBdr>
        <w:top w:val="none" w:sz="0" w:space="0" w:color="auto"/>
        <w:left w:val="none" w:sz="0" w:space="0" w:color="auto"/>
        <w:bottom w:val="none" w:sz="0" w:space="0" w:color="auto"/>
        <w:right w:val="none" w:sz="0" w:space="0" w:color="auto"/>
      </w:divBdr>
      <w:divsChild>
        <w:div w:id="1234779163">
          <w:marLeft w:val="0"/>
          <w:marRight w:val="0"/>
          <w:marTop w:val="0"/>
          <w:marBottom w:val="0"/>
          <w:divBdr>
            <w:top w:val="single" w:sz="2" w:space="0" w:color="D9D9E3"/>
            <w:left w:val="single" w:sz="2" w:space="0" w:color="D9D9E3"/>
            <w:bottom w:val="single" w:sz="2" w:space="0" w:color="D9D9E3"/>
            <w:right w:val="single" w:sz="2" w:space="0" w:color="D9D9E3"/>
          </w:divBdr>
          <w:divsChild>
            <w:div w:id="873469365">
              <w:marLeft w:val="0"/>
              <w:marRight w:val="0"/>
              <w:marTop w:val="0"/>
              <w:marBottom w:val="0"/>
              <w:divBdr>
                <w:top w:val="single" w:sz="2" w:space="0" w:color="D9D9E3"/>
                <w:left w:val="single" w:sz="2" w:space="0" w:color="D9D9E3"/>
                <w:bottom w:val="single" w:sz="2" w:space="0" w:color="D9D9E3"/>
                <w:right w:val="single" w:sz="2" w:space="0" w:color="D9D9E3"/>
              </w:divBdr>
              <w:divsChild>
                <w:div w:id="845291864">
                  <w:marLeft w:val="0"/>
                  <w:marRight w:val="0"/>
                  <w:marTop w:val="0"/>
                  <w:marBottom w:val="0"/>
                  <w:divBdr>
                    <w:top w:val="single" w:sz="2" w:space="0" w:color="D9D9E3"/>
                    <w:left w:val="single" w:sz="2" w:space="0" w:color="D9D9E3"/>
                    <w:bottom w:val="single" w:sz="2" w:space="0" w:color="D9D9E3"/>
                    <w:right w:val="single" w:sz="2" w:space="0" w:color="D9D9E3"/>
                  </w:divBdr>
                  <w:divsChild>
                    <w:div w:id="470755706">
                      <w:marLeft w:val="0"/>
                      <w:marRight w:val="0"/>
                      <w:marTop w:val="0"/>
                      <w:marBottom w:val="0"/>
                      <w:divBdr>
                        <w:top w:val="single" w:sz="2" w:space="0" w:color="D9D9E3"/>
                        <w:left w:val="single" w:sz="2" w:space="0" w:color="D9D9E3"/>
                        <w:bottom w:val="single" w:sz="2" w:space="0" w:color="D9D9E3"/>
                        <w:right w:val="single" w:sz="2" w:space="0" w:color="D9D9E3"/>
                      </w:divBdr>
                      <w:divsChild>
                        <w:div w:id="1165785761">
                          <w:marLeft w:val="0"/>
                          <w:marRight w:val="0"/>
                          <w:marTop w:val="0"/>
                          <w:marBottom w:val="0"/>
                          <w:divBdr>
                            <w:top w:val="single" w:sz="2" w:space="0" w:color="auto"/>
                            <w:left w:val="single" w:sz="2" w:space="0" w:color="auto"/>
                            <w:bottom w:val="single" w:sz="6" w:space="0" w:color="auto"/>
                            <w:right w:val="single" w:sz="2" w:space="0" w:color="auto"/>
                          </w:divBdr>
                          <w:divsChild>
                            <w:div w:id="199375751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1767398">
                                  <w:marLeft w:val="0"/>
                                  <w:marRight w:val="0"/>
                                  <w:marTop w:val="0"/>
                                  <w:marBottom w:val="0"/>
                                  <w:divBdr>
                                    <w:top w:val="single" w:sz="2" w:space="0" w:color="D9D9E3"/>
                                    <w:left w:val="single" w:sz="2" w:space="0" w:color="D9D9E3"/>
                                    <w:bottom w:val="single" w:sz="2" w:space="0" w:color="D9D9E3"/>
                                    <w:right w:val="single" w:sz="2" w:space="0" w:color="D9D9E3"/>
                                  </w:divBdr>
                                  <w:divsChild>
                                    <w:div w:id="1478298324">
                                      <w:marLeft w:val="0"/>
                                      <w:marRight w:val="0"/>
                                      <w:marTop w:val="0"/>
                                      <w:marBottom w:val="0"/>
                                      <w:divBdr>
                                        <w:top w:val="single" w:sz="2" w:space="0" w:color="D9D9E3"/>
                                        <w:left w:val="single" w:sz="2" w:space="0" w:color="D9D9E3"/>
                                        <w:bottom w:val="single" w:sz="2" w:space="0" w:color="D9D9E3"/>
                                        <w:right w:val="single" w:sz="2" w:space="0" w:color="D9D9E3"/>
                                      </w:divBdr>
                                      <w:divsChild>
                                        <w:div w:id="14443048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44121044">
                          <w:marLeft w:val="0"/>
                          <w:marRight w:val="0"/>
                          <w:marTop w:val="0"/>
                          <w:marBottom w:val="0"/>
                          <w:divBdr>
                            <w:top w:val="single" w:sz="2" w:space="0" w:color="auto"/>
                            <w:left w:val="single" w:sz="2" w:space="0" w:color="auto"/>
                            <w:bottom w:val="single" w:sz="6" w:space="0" w:color="auto"/>
                            <w:right w:val="single" w:sz="2" w:space="0" w:color="auto"/>
                          </w:divBdr>
                          <w:divsChild>
                            <w:div w:id="234822981">
                              <w:marLeft w:val="0"/>
                              <w:marRight w:val="0"/>
                              <w:marTop w:val="100"/>
                              <w:marBottom w:val="100"/>
                              <w:divBdr>
                                <w:top w:val="single" w:sz="2" w:space="0" w:color="D9D9E3"/>
                                <w:left w:val="single" w:sz="2" w:space="0" w:color="D9D9E3"/>
                                <w:bottom w:val="single" w:sz="2" w:space="0" w:color="D9D9E3"/>
                                <w:right w:val="single" w:sz="2" w:space="0" w:color="D9D9E3"/>
                              </w:divBdr>
                              <w:divsChild>
                                <w:div w:id="1561087172">
                                  <w:marLeft w:val="0"/>
                                  <w:marRight w:val="0"/>
                                  <w:marTop w:val="0"/>
                                  <w:marBottom w:val="0"/>
                                  <w:divBdr>
                                    <w:top w:val="single" w:sz="2" w:space="0" w:color="D9D9E3"/>
                                    <w:left w:val="single" w:sz="2" w:space="0" w:color="D9D9E3"/>
                                    <w:bottom w:val="single" w:sz="2" w:space="0" w:color="D9D9E3"/>
                                    <w:right w:val="single" w:sz="2" w:space="0" w:color="D9D9E3"/>
                                  </w:divBdr>
                                  <w:divsChild>
                                    <w:div w:id="1312446236">
                                      <w:marLeft w:val="0"/>
                                      <w:marRight w:val="0"/>
                                      <w:marTop w:val="0"/>
                                      <w:marBottom w:val="0"/>
                                      <w:divBdr>
                                        <w:top w:val="single" w:sz="2" w:space="0" w:color="D9D9E3"/>
                                        <w:left w:val="single" w:sz="2" w:space="0" w:color="D9D9E3"/>
                                        <w:bottom w:val="single" w:sz="2" w:space="0" w:color="D9D9E3"/>
                                        <w:right w:val="single" w:sz="2" w:space="0" w:color="D9D9E3"/>
                                      </w:divBdr>
                                      <w:divsChild>
                                        <w:div w:id="1301811306">
                                          <w:marLeft w:val="0"/>
                                          <w:marRight w:val="0"/>
                                          <w:marTop w:val="0"/>
                                          <w:marBottom w:val="0"/>
                                          <w:divBdr>
                                            <w:top w:val="single" w:sz="2" w:space="0" w:color="D9D9E3"/>
                                            <w:left w:val="single" w:sz="2" w:space="0" w:color="D9D9E3"/>
                                            <w:bottom w:val="single" w:sz="2" w:space="0" w:color="D9D9E3"/>
                                            <w:right w:val="single" w:sz="2" w:space="0" w:color="D9D9E3"/>
                                          </w:divBdr>
                                          <w:divsChild>
                                            <w:div w:id="807207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92770493">
          <w:marLeft w:val="0"/>
          <w:marRight w:val="0"/>
          <w:marTop w:val="0"/>
          <w:marBottom w:val="0"/>
          <w:divBdr>
            <w:top w:val="none" w:sz="0" w:space="0" w:color="auto"/>
            <w:left w:val="none" w:sz="0" w:space="0" w:color="auto"/>
            <w:bottom w:val="none" w:sz="0" w:space="0" w:color="auto"/>
            <w:right w:val="none" w:sz="0" w:space="0" w:color="auto"/>
          </w:divBdr>
        </w:div>
      </w:divsChild>
    </w:div>
    <w:div w:id="38163434">
      <w:bodyDiv w:val="1"/>
      <w:marLeft w:val="0"/>
      <w:marRight w:val="0"/>
      <w:marTop w:val="0"/>
      <w:marBottom w:val="0"/>
      <w:divBdr>
        <w:top w:val="none" w:sz="0" w:space="0" w:color="auto"/>
        <w:left w:val="none" w:sz="0" w:space="0" w:color="auto"/>
        <w:bottom w:val="none" w:sz="0" w:space="0" w:color="auto"/>
        <w:right w:val="none" w:sz="0" w:space="0" w:color="auto"/>
      </w:divBdr>
    </w:div>
    <w:div w:id="42951519">
      <w:bodyDiv w:val="1"/>
      <w:marLeft w:val="0"/>
      <w:marRight w:val="0"/>
      <w:marTop w:val="0"/>
      <w:marBottom w:val="0"/>
      <w:divBdr>
        <w:top w:val="none" w:sz="0" w:space="0" w:color="auto"/>
        <w:left w:val="none" w:sz="0" w:space="0" w:color="auto"/>
        <w:bottom w:val="none" w:sz="0" w:space="0" w:color="auto"/>
        <w:right w:val="none" w:sz="0" w:space="0" w:color="auto"/>
      </w:divBdr>
      <w:divsChild>
        <w:div w:id="355619969">
          <w:marLeft w:val="0"/>
          <w:marRight w:val="0"/>
          <w:marTop w:val="0"/>
          <w:marBottom w:val="0"/>
          <w:divBdr>
            <w:top w:val="single" w:sz="2" w:space="0" w:color="auto"/>
            <w:left w:val="single" w:sz="2" w:space="0" w:color="auto"/>
            <w:bottom w:val="single" w:sz="6" w:space="0" w:color="auto"/>
            <w:right w:val="single" w:sz="2" w:space="0" w:color="auto"/>
          </w:divBdr>
          <w:divsChild>
            <w:div w:id="1464696534">
              <w:marLeft w:val="0"/>
              <w:marRight w:val="0"/>
              <w:marTop w:val="100"/>
              <w:marBottom w:val="100"/>
              <w:divBdr>
                <w:top w:val="single" w:sz="2" w:space="0" w:color="D9D9E3"/>
                <w:left w:val="single" w:sz="2" w:space="0" w:color="D9D9E3"/>
                <w:bottom w:val="single" w:sz="2" w:space="0" w:color="D9D9E3"/>
                <w:right w:val="single" w:sz="2" w:space="0" w:color="D9D9E3"/>
              </w:divBdr>
              <w:divsChild>
                <w:div w:id="2071418675">
                  <w:marLeft w:val="0"/>
                  <w:marRight w:val="0"/>
                  <w:marTop w:val="0"/>
                  <w:marBottom w:val="0"/>
                  <w:divBdr>
                    <w:top w:val="single" w:sz="2" w:space="0" w:color="D9D9E3"/>
                    <w:left w:val="single" w:sz="2" w:space="0" w:color="D9D9E3"/>
                    <w:bottom w:val="single" w:sz="2" w:space="0" w:color="D9D9E3"/>
                    <w:right w:val="single" w:sz="2" w:space="0" w:color="D9D9E3"/>
                  </w:divBdr>
                  <w:divsChild>
                    <w:div w:id="1461261053">
                      <w:marLeft w:val="0"/>
                      <w:marRight w:val="0"/>
                      <w:marTop w:val="0"/>
                      <w:marBottom w:val="0"/>
                      <w:divBdr>
                        <w:top w:val="single" w:sz="2" w:space="0" w:color="D9D9E3"/>
                        <w:left w:val="single" w:sz="2" w:space="0" w:color="D9D9E3"/>
                        <w:bottom w:val="single" w:sz="2" w:space="0" w:color="D9D9E3"/>
                        <w:right w:val="single" w:sz="2" w:space="0" w:color="D9D9E3"/>
                      </w:divBdr>
                      <w:divsChild>
                        <w:div w:id="2127851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4775753">
          <w:marLeft w:val="0"/>
          <w:marRight w:val="0"/>
          <w:marTop w:val="0"/>
          <w:marBottom w:val="0"/>
          <w:divBdr>
            <w:top w:val="single" w:sz="2" w:space="0" w:color="auto"/>
            <w:left w:val="single" w:sz="2" w:space="0" w:color="auto"/>
            <w:bottom w:val="single" w:sz="6" w:space="0" w:color="auto"/>
            <w:right w:val="single" w:sz="2" w:space="0" w:color="auto"/>
          </w:divBdr>
          <w:divsChild>
            <w:div w:id="1746292597">
              <w:marLeft w:val="0"/>
              <w:marRight w:val="0"/>
              <w:marTop w:val="100"/>
              <w:marBottom w:val="100"/>
              <w:divBdr>
                <w:top w:val="single" w:sz="2" w:space="0" w:color="D9D9E3"/>
                <w:left w:val="single" w:sz="2" w:space="0" w:color="D9D9E3"/>
                <w:bottom w:val="single" w:sz="2" w:space="0" w:color="D9D9E3"/>
                <w:right w:val="single" w:sz="2" w:space="0" w:color="D9D9E3"/>
              </w:divBdr>
              <w:divsChild>
                <w:div w:id="1215853919">
                  <w:marLeft w:val="0"/>
                  <w:marRight w:val="0"/>
                  <w:marTop w:val="0"/>
                  <w:marBottom w:val="0"/>
                  <w:divBdr>
                    <w:top w:val="single" w:sz="2" w:space="0" w:color="D9D9E3"/>
                    <w:left w:val="single" w:sz="2" w:space="0" w:color="D9D9E3"/>
                    <w:bottom w:val="single" w:sz="2" w:space="0" w:color="D9D9E3"/>
                    <w:right w:val="single" w:sz="2" w:space="0" w:color="D9D9E3"/>
                  </w:divBdr>
                  <w:divsChild>
                    <w:div w:id="1223369038">
                      <w:marLeft w:val="0"/>
                      <w:marRight w:val="0"/>
                      <w:marTop w:val="0"/>
                      <w:marBottom w:val="0"/>
                      <w:divBdr>
                        <w:top w:val="single" w:sz="2" w:space="0" w:color="D9D9E3"/>
                        <w:left w:val="single" w:sz="2" w:space="0" w:color="D9D9E3"/>
                        <w:bottom w:val="single" w:sz="2" w:space="0" w:color="D9D9E3"/>
                        <w:right w:val="single" w:sz="2" w:space="0" w:color="D9D9E3"/>
                      </w:divBdr>
                      <w:divsChild>
                        <w:div w:id="532497138">
                          <w:marLeft w:val="0"/>
                          <w:marRight w:val="0"/>
                          <w:marTop w:val="0"/>
                          <w:marBottom w:val="0"/>
                          <w:divBdr>
                            <w:top w:val="single" w:sz="2" w:space="0" w:color="D9D9E3"/>
                            <w:left w:val="single" w:sz="2" w:space="0" w:color="D9D9E3"/>
                            <w:bottom w:val="single" w:sz="2" w:space="0" w:color="D9D9E3"/>
                            <w:right w:val="single" w:sz="2" w:space="0" w:color="D9D9E3"/>
                          </w:divBdr>
                          <w:divsChild>
                            <w:div w:id="15811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7996935">
      <w:bodyDiv w:val="1"/>
      <w:marLeft w:val="0"/>
      <w:marRight w:val="0"/>
      <w:marTop w:val="0"/>
      <w:marBottom w:val="0"/>
      <w:divBdr>
        <w:top w:val="none" w:sz="0" w:space="0" w:color="auto"/>
        <w:left w:val="none" w:sz="0" w:space="0" w:color="auto"/>
        <w:bottom w:val="none" w:sz="0" w:space="0" w:color="auto"/>
        <w:right w:val="none" w:sz="0" w:space="0" w:color="auto"/>
      </w:divBdr>
      <w:divsChild>
        <w:div w:id="659624647">
          <w:marLeft w:val="0"/>
          <w:marRight w:val="0"/>
          <w:marTop w:val="0"/>
          <w:marBottom w:val="0"/>
          <w:divBdr>
            <w:top w:val="none" w:sz="0" w:space="0" w:color="auto"/>
            <w:left w:val="none" w:sz="0" w:space="0" w:color="auto"/>
            <w:bottom w:val="none" w:sz="0" w:space="0" w:color="auto"/>
            <w:right w:val="none" w:sz="0" w:space="0" w:color="auto"/>
          </w:divBdr>
          <w:divsChild>
            <w:div w:id="992298313">
              <w:marLeft w:val="0"/>
              <w:marRight w:val="0"/>
              <w:marTop w:val="0"/>
              <w:marBottom w:val="0"/>
              <w:divBdr>
                <w:top w:val="none" w:sz="0" w:space="0" w:color="auto"/>
                <w:left w:val="none" w:sz="0" w:space="0" w:color="auto"/>
                <w:bottom w:val="none" w:sz="0" w:space="0" w:color="auto"/>
                <w:right w:val="none" w:sz="0" w:space="0" w:color="auto"/>
              </w:divBdr>
              <w:divsChild>
                <w:div w:id="1978755795">
                  <w:marLeft w:val="-120"/>
                  <w:marRight w:val="-120"/>
                  <w:marTop w:val="0"/>
                  <w:marBottom w:val="0"/>
                  <w:divBdr>
                    <w:top w:val="none" w:sz="0" w:space="0" w:color="auto"/>
                    <w:left w:val="none" w:sz="0" w:space="0" w:color="auto"/>
                    <w:bottom w:val="none" w:sz="0" w:space="0" w:color="auto"/>
                    <w:right w:val="none" w:sz="0" w:space="0" w:color="auto"/>
                  </w:divBdr>
                  <w:divsChild>
                    <w:div w:id="2097045822">
                      <w:blockQuote w:val="1"/>
                      <w:marLeft w:val="0"/>
                      <w:marRight w:val="0"/>
                      <w:marTop w:val="180"/>
                      <w:marBottom w:val="180"/>
                      <w:divBdr>
                        <w:top w:val="none" w:sz="0" w:space="0" w:color="auto"/>
                        <w:left w:val="single" w:sz="12" w:space="15" w:color="005F92"/>
                        <w:bottom w:val="none" w:sz="0" w:space="0" w:color="auto"/>
                        <w:right w:val="none" w:sz="0" w:space="0" w:color="auto"/>
                      </w:divBdr>
                    </w:div>
                    <w:div w:id="562565532">
                      <w:blockQuote w:val="1"/>
                      <w:marLeft w:val="0"/>
                      <w:marRight w:val="0"/>
                      <w:marTop w:val="180"/>
                      <w:marBottom w:val="180"/>
                      <w:divBdr>
                        <w:top w:val="none" w:sz="0" w:space="0" w:color="auto"/>
                        <w:left w:val="single" w:sz="12" w:space="15" w:color="005F92"/>
                        <w:bottom w:val="none" w:sz="0" w:space="0" w:color="auto"/>
                        <w:right w:val="none" w:sz="0" w:space="0" w:color="auto"/>
                      </w:divBdr>
                    </w:div>
                    <w:div w:id="597568287">
                      <w:blockQuote w:val="1"/>
                      <w:marLeft w:val="0"/>
                      <w:marRight w:val="0"/>
                      <w:marTop w:val="180"/>
                      <w:marBottom w:val="180"/>
                      <w:divBdr>
                        <w:top w:val="none" w:sz="0" w:space="0" w:color="auto"/>
                        <w:left w:val="single" w:sz="12" w:space="15" w:color="005F92"/>
                        <w:bottom w:val="none" w:sz="0" w:space="0" w:color="auto"/>
                        <w:right w:val="none" w:sz="0" w:space="0" w:color="auto"/>
                      </w:divBdr>
                    </w:div>
                    <w:div w:id="1453553211">
                      <w:blockQuote w:val="1"/>
                      <w:marLeft w:val="0"/>
                      <w:marRight w:val="0"/>
                      <w:marTop w:val="180"/>
                      <w:marBottom w:val="180"/>
                      <w:divBdr>
                        <w:top w:val="none" w:sz="0" w:space="0" w:color="auto"/>
                        <w:left w:val="single" w:sz="12" w:space="15" w:color="005F92"/>
                        <w:bottom w:val="none" w:sz="0" w:space="0" w:color="auto"/>
                        <w:right w:val="none" w:sz="0" w:space="0" w:color="auto"/>
                      </w:divBdr>
                    </w:div>
                  </w:divsChild>
                </w:div>
              </w:divsChild>
            </w:div>
          </w:divsChild>
        </w:div>
        <w:div w:id="371347815">
          <w:marLeft w:val="0"/>
          <w:marRight w:val="0"/>
          <w:marTop w:val="0"/>
          <w:marBottom w:val="0"/>
          <w:divBdr>
            <w:top w:val="none" w:sz="0" w:space="0" w:color="auto"/>
            <w:left w:val="none" w:sz="0" w:space="0" w:color="auto"/>
            <w:bottom w:val="none" w:sz="0" w:space="0" w:color="auto"/>
            <w:right w:val="none" w:sz="0" w:space="0" w:color="auto"/>
          </w:divBdr>
          <w:divsChild>
            <w:div w:id="893154286">
              <w:marLeft w:val="0"/>
              <w:marRight w:val="0"/>
              <w:marTop w:val="0"/>
              <w:marBottom w:val="0"/>
              <w:divBdr>
                <w:top w:val="single" w:sz="12" w:space="8" w:color="252525"/>
                <w:left w:val="none" w:sz="0" w:space="0" w:color="auto"/>
                <w:bottom w:val="none" w:sz="0" w:space="0" w:color="auto"/>
                <w:right w:val="none" w:sz="0" w:space="0" w:color="auto"/>
              </w:divBdr>
              <w:divsChild>
                <w:div w:id="1186289330">
                  <w:marLeft w:val="-120"/>
                  <w:marRight w:val="-120"/>
                  <w:marTop w:val="0"/>
                  <w:marBottom w:val="0"/>
                  <w:divBdr>
                    <w:top w:val="none" w:sz="0" w:space="0" w:color="auto"/>
                    <w:left w:val="none" w:sz="0" w:space="0" w:color="auto"/>
                    <w:bottom w:val="none" w:sz="0" w:space="0" w:color="auto"/>
                    <w:right w:val="none" w:sz="0" w:space="0" w:color="auto"/>
                  </w:divBdr>
                  <w:divsChild>
                    <w:div w:id="443497676">
                      <w:marLeft w:val="0"/>
                      <w:marRight w:val="0"/>
                      <w:marTop w:val="0"/>
                      <w:marBottom w:val="0"/>
                      <w:divBdr>
                        <w:top w:val="none" w:sz="0" w:space="0" w:color="auto"/>
                        <w:left w:val="none" w:sz="0" w:space="0" w:color="auto"/>
                        <w:bottom w:val="none" w:sz="0" w:space="0" w:color="auto"/>
                        <w:right w:val="none" w:sz="0" w:space="0" w:color="auto"/>
                      </w:divBdr>
                      <w:divsChild>
                        <w:div w:id="1787656044">
                          <w:marLeft w:val="0"/>
                          <w:marRight w:val="0"/>
                          <w:marTop w:val="0"/>
                          <w:marBottom w:val="0"/>
                          <w:divBdr>
                            <w:top w:val="none" w:sz="0" w:space="0" w:color="auto"/>
                            <w:left w:val="none" w:sz="0" w:space="0" w:color="auto"/>
                            <w:bottom w:val="none" w:sz="0" w:space="0" w:color="auto"/>
                            <w:right w:val="none" w:sz="0" w:space="0" w:color="auto"/>
                          </w:divBdr>
                        </w:div>
                      </w:divsChild>
                    </w:div>
                    <w:div w:id="328753877">
                      <w:marLeft w:val="0"/>
                      <w:marRight w:val="0"/>
                      <w:marTop w:val="0"/>
                      <w:marBottom w:val="0"/>
                      <w:divBdr>
                        <w:top w:val="none" w:sz="0" w:space="0" w:color="auto"/>
                        <w:left w:val="none" w:sz="0" w:space="0" w:color="auto"/>
                        <w:bottom w:val="none" w:sz="0" w:space="0" w:color="auto"/>
                        <w:right w:val="none" w:sz="0" w:space="0" w:color="auto"/>
                      </w:divBdr>
                      <w:divsChild>
                        <w:div w:id="2094428045">
                          <w:marLeft w:val="0"/>
                          <w:marRight w:val="0"/>
                          <w:marTop w:val="0"/>
                          <w:marBottom w:val="0"/>
                          <w:divBdr>
                            <w:top w:val="none" w:sz="0" w:space="0" w:color="auto"/>
                            <w:left w:val="none" w:sz="0" w:space="0" w:color="auto"/>
                            <w:bottom w:val="none" w:sz="0" w:space="0" w:color="auto"/>
                            <w:right w:val="none" w:sz="0" w:space="0" w:color="auto"/>
                          </w:divBdr>
                        </w:div>
                      </w:divsChild>
                    </w:div>
                    <w:div w:id="1444574494">
                      <w:marLeft w:val="0"/>
                      <w:marRight w:val="0"/>
                      <w:marTop w:val="0"/>
                      <w:marBottom w:val="0"/>
                      <w:divBdr>
                        <w:top w:val="none" w:sz="0" w:space="0" w:color="auto"/>
                        <w:left w:val="none" w:sz="0" w:space="0" w:color="auto"/>
                        <w:bottom w:val="none" w:sz="0" w:space="0" w:color="auto"/>
                        <w:right w:val="none" w:sz="0" w:space="0" w:color="auto"/>
                      </w:divBdr>
                      <w:divsChild>
                        <w:div w:id="712846214">
                          <w:marLeft w:val="0"/>
                          <w:marRight w:val="0"/>
                          <w:marTop w:val="0"/>
                          <w:marBottom w:val="0"/>
                          <w:divBdr>
                            <w:top w:val="none" w:sz="0" w:space="0" w:color="auto"/>
                            <w:left w:val="none" w:sz="0" w:space="0" w:color="auto"/>
                            <w:bottom w:val="none" w:sz="0" w:space="0" w:color="auto"/>
                            <w:right w:val="none" w:sz="0" w:space="0" w:color="auto"/>
                          </w:divBdr>
                        </w:div>
                      </w:divsChild>
                    </w:div>
                    <w:div w:id="2144107387">
                      <w:marLeft w:val="0"/>
                      <w:marRight w:val="0"/>
                      <w:marTop w:val="0"/>
                      <w:marBottom w:val="0"/>
                      <w:divBdr>
                        <w:top w:val="none" w:sz="0" w:space="0" w:color="auto"/>
                        <w:left w:val="none" w:sz="0" w:space="0" w:color="auto"/>
                        <w:bottom w:val="none" w:sz="0" w:space="0" w:color="auto"/>
                        <w:right w:val="none" w:sz="0" w:space="0" w:color="auto"/>
                      </w:divBdr>
                      <w:divsChild>
                        <w:div w:id="4396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0592">
                  <w:marLeft w:val="-120"/>
                  <w:marRight w:val="-120"/>
                  <w:marTop w:val="0"/>
                  <w:marBottom w:val="0"/>
                  <w:divBdr>
                    <w:top w:val="none" w:sz="0" w:space="0" w:color="auto"/>
                    <w:left w:val="none" w:sz="0" w:space="0" w:color="auto"/>
                    <w:bottom w:val="none" w:sz="0" w:space="0" w:color="auto"/>
                    <w:right w:val="none" w:sz="0" w:space="0" w:color="auto"/>
                  </w:divBdr>
                  <w:divsChild>
                    <w:div w:id="2134208016">
                      <w:marLeft w:val="0"/>
                      <w:marRight w:val="0"/>
                      <w:marTop w:val="0"/>
                      <w:marBottom w:val="0"/>
                      <w:divBdr>
                        <w:top w:val="none" w:sz="0" w:space="0" w:color="auto"/>
                        <w:left w:val="none" w:sz="0" w:space="0" w:color="auto"/>
                        <w:bottom w:val="none" w:sz="0" w:space="0" w:color="auto"/>
                        <w:right w:val="none" w:sz="0" w:space="0" w:color="auto"/>
                      </w:divBdr>
                      <w:divsChild>
                        <w:div w:id="5226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42191">
      <w:bodyDiv w:val="1"/>
      <w:marLeft w:val="0"/>
      <w:marRight w:val="0"/>
      <w:marTop w:val="0"/>
      <w:marBottom w:val="0"/>
      <w:divBdr>
        <w:top w:val="none" w:sz="0" w:space="0" w:color="auto"/>
        <w:left w:val="none" w:sz="0" w:space="0" w:color="auto"/>
        <w:bottom w:val="none" w:sz="0" w:space="0" w:color="auto"/>
        <w:right w:val="none" w:sz="0" w:space="0" w:color="auto"/>
      </w:divBdr>
      <w:divsChild>
        <w:div w:id="188028163">
          <w:marLeft w:val="0"/>
          <w:marRight w:val="0"/>
          <w:marTop w:val="0"/>
          <w:marBottom w:val="0"/>
          <w:divBdr>
            <w:top w:val="single" w:sz="2" w:space="0" w:color="auto"/>
            <w:left w:val="single" w:sz="2" w:space="0" w:color="auto"/>
            <w:bottom w:val="single" w:sz="6" w:space="0" w:color="auto"/>
            <w:right w:val="single" w:sz="2" w:space="0" w:color="auto"/>
          </w:divBdr>
          <w:divsChild>
            <w:div w:id="3742314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31450593">
                  <w:marLeft w:val="0"/>
                  <w:marRight w:val="0"/>
                  <w:marTop w:val="0"/>
                  <w:marBottom w:val="0"/>
                  <w:divBdr>
                    <w:top w:val="single" w:sz="2" w:space="0" w:color="D9D9E3"/>
                    <w:left w:val="single" w:sz="2" w:space="0" w:color="D9D9E3"/>
                    <w:bottom w:val="single" w:sz="2" w:space="0" w:color="D9D9E3"/>
                    <w:right w:val="single" w:sz="2" w:space="0" w:color="D9D9E3"/>
                  </w:divBdr>
                  <w:divsChild>
                    <w:div w:id="84739711">
                      <w:marLeft w:val="0"/>
                      <w:marRight w:val="0"/>
                      <w:marTop w:val="0"/>
                      <w:marBottom w:val="0"/>
                      <w:divBdr>
                        <w:top w:val="single" w:sz="2" w:space="0" w:color="D9D9E3"/>
                        <w:left w:val="single" w:sz="2" w:space="0" w:color="D9D9E3"/>
                        <w:bottom w:val="single" w:sz="2" w:space="0" w:color="D9D9E3"/>
                        <w:right w:val="single" w:sz="2" w:space="0" w:color="D9D9E3"/>
                      </w:divBdr>
                      <w:divsChild>
                        <w:div w:id="8409248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28821166">
          <w:marLeft w:val="0"/>
          <w:marRight w:val="0"/>
          <w:marTop w:val="0"/>
          <w:marBottom w:val="0"/>
          <w:divBdr>
            <w:top w:val="single" w:sz="2" w:space="0" w:color="auto"/>
            <w:left w:val="single" w:sz="2" w:space="0" w:color="auto"/>
            <w:bottom w:val="single" w:sz="6" w:space="0" w:color="auto"/>
            <w:right w:val="single" w:sz="2" w:space="0" w:color="auto"/>
          </w:divBdr>
          <w:divsChild>
            <w:div w:id="811749629">
              <w:marLeft w:val="0"/>
              <w:marRight w:val="0"/>
              <w:marTop w:val="100"/>
              <w:marBottom w:val="100"/>
              <w:divBdr>
                <w:top w:val="single" w:sz="2" w:space="0" w:color="D9D9E3"/>
                <w:left w:val="single" w:sz="2" w:space="0" w:color="D9D9E3"/>
                <w:bottom w:val="single" w:sz="2" w:space="0" w:color="D9D9E3"/>
                <w:right w:val="single" w:sz="2" w:space="0" w:color="D9D9E3"/>
              </w:divBdr>
              <w:divsChild>
                <w:div w:id="1630670453">
                  <w:marLeft w:val="0"/>
                  <w:marRight w:val="0"/>
                  <w:marTop w:val="0"/>
                  <w:marBottom w:val="0"/>
                  <w:divBdr>
                    <w:top w:val="single" w:sz="2" w:space="0" w:color="D9D9E3"/>
                    <w:left w:val="single" w:sz="2" w:space="0" w:color="D9D9E3"/>
                    <w:bottom w:val="single" w:sz="2" w:space="0" w:color="D9D9E3"/>
                    <w:right w:val="single" w:sz="2" w:space="0" w:color="D9D9E3"/>
                  </w:divBdr>
                  <w:divsChild>
                    <w:div w:id="97913569">
                      <w:marLeft w:val="0"/>
                      <w:marRight w:val="0"/>
                      <w:marTop w:val="0"/>
                      <w:marBottom w:val="0"/>
                      <w:divBdr>
                        <w:top w:val="single" w:sz="2" w:space="0" w:color="D9D9E3"/>
                        <w:left w:val="single" w:sz="2" w:space="0" w:color="D9D9E3"/>
                        <w:bottom w:val="single" w:sz="2" w:space="0" w:color="D9D9E3"/>
                        <w:right w:val="single" w:sz="2" w:space="0" w:color="D9D9E3"/>
                      </w:divBdr>
                      <w:divsChild>
                        <w:div w:id="909770819">
                          <w:marLeft w:val="0"/>
                          <w:marRight w:val="0"/>
                          <w:marTop w:val="0"/>
                          <w:marBottom w:val="0"/>
                          <w:divBdr>
                            <w:top w:val="single" w:sz="2" w:space="0" w:color="D9D9E3"/>
                            <w:left w:val="single" w:sz="2" w:space="0" w:color="D9D9E3"/>
                            <w:bottom w:val="single" w:sz="2" w:space="0" w:color="D9D9E3"/>
                            <w:right w:val="single" w:sz="2" w:space="0" w:color="D9D9E3"/>
                          </w:divBdr>
                          <w:divsChild>
                            <w:div w:id="513692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4084489">
      <w:bodyDiv w:val="1"/>
      <w:marLeft w:val="0"/>
      <w:marRight w:val="0"/>
      <w:marTop w:val="0"/>
      <w:marBottom w:val="0"/>
      <w:divBdr>
        <w:top w:val="none" w:sz="0" w:space="0" w:color="auto"/>
        <w:left w:val="none" w:sz="0" w:space="0" w:color="auto"/>
        <w:bottom w:val="none" w:sz="0" w:space="0" w:color="auto"/>
        <w:right w:val="none" w:sz="0" w:space="0" w:color="auto"/>
      </w:divBdr>
      <w:divsChild>
        <w:div w:id="927889583">
          <w:marLeft w:val="0"/>
          <w:marRight w:val="0"/>
          <w:marTop w:val="0"/>
          <w:marBottom w:val="0"/>
          <w:divBdr>
            <w:top w:val="single" w:sz="2" w:space="0" w:color="auto"/>
            <w:left w:val="single" w:sz="2" w:space="0" w:color="auto"/>
            <w:bottom w:val="single" w:sz="6" w:space="0" w:color="auto"/>
            <w:right w:val="single" w:sz="2" w:space="0" w:color="auto"/>
          </w:divBdr>
          <w:divsChild>
            <w:div w:id="1898008756">
              <w:marLeft w:val="0"/>
              <w:marRight w:val="0"/>
              <w:marTop w:val="100"/>
              <w:marBottom w:val="100"/>
              <w:divBdr>
                <w:top w:val="single" w:sz="2" w:space="0" w:color="D9D9E3"/>
                <w:left w:val="single" w:sz="2" w:space="0" w:color="D9D9E3"/>
                <w:bottom w:val="single" w:sz="2" w:space="0" w:color="D9D9E3"/>
                <w:right w:val="single" w:sz="2" w:space="0" w:color="D9D9E3"/>
              </w:divBdr>
              <w:divsChild>
                <w:div w:id="911279307">
                  <w:marLeft w:val="0"/>
                  <w:marRight w:val="0"/>
                  <w:marTop w:val="0"/>
                  <w:marBottom w:val="0"/>
                  <w:divBdr>
                    <w:top w:val="single" w:sz="2" w:space="0" w:color="D9D9E3"/>
                    <w:left w:val="single" w:sz="2" w:space="0" w:color="D9D9E3"/>
                    <w:bottom w:val="single" w:sz="2" w:space="0" w:color="D9D9E3"/>
                    <w:right w:val="single" w:sz="2" w:space="0" w:color="D9D9E3"/>
                  </w:divBdr>
                  <w:divsChild>
                    <w:div w:id="1166363071">
                      <w:marLeft w:val="0"/>
                      <w:marRight w:val="0"/>
                      <w:marTop w:val="0"/>
                      <w:marBottom w:val="0"/>
                      <w:divBdr>
                        <w:top w:val="single" w:sz="2" w:space="0" w:color="D9D9E3"/>
                        <w:left w:val="single" w:sz="2" w:space="0" w:color="D9D9E3"/>
                        <w:bottom w:val="single" w:sz="2" w:space="0" w:color="D9D9E3"/>
                        <w:right w:val="single" w:sz="2" w:space="0" w:color="D9D9E3"/>
                      </w:divBdr>
                      <w:divsChild>
                        <w:div w:id="1241254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8754507">
          <w:marLeft w:val="0"/>
          <w:marRight w:val="0"/>
          <w:marTop w:val="0"/>
          <w:marBottom w:val="0"/>
          <w:divBdr>
            <w:top w:val="single" w:sz="2" w:space="0" w:color="auto"/>
            <w:left w:val="single" w:sz="2" w:space="0" w:color="auto"/>
            <w:bottom w:val="single" w:sz="6" w:space="0" w:color="auto"/>
            <w:right w:val="single" w:sz="2" w:space="0" w:color="auto"/>
          </w:divBdr>
          <w:divsChild>
            <w:div w:id="1259018923">
              <w:marLeft w:val="0"/>
              <w:marRight w:val="0"/>
              <w:marTop w:val="100"/>
              <w:marBottom w:val="100"/>
              <w:divBdr>
                <w:top w:val="single" w:sz="2" w:space="0" w:color="D9D9E3"/>
                <w:left w:val="single" w:sz="2" w:space="0" w:color="D9D9E3"/>
                <w:bottom w:val="single" w:sz="2" w:space="0" w:color="D9D9E3"/>
                <w:right w:val="single" w:sz="2" w:space="0" w:color="D9D9E3"/>
              </w:divBdr>
              <w:divsChild>
                <w:div w:id="1902132790">
                  <w:marLeft w:val="0"/>
                  <w:marRight w:val="0"/>
                  <w:marTop w:val="0"/>
                  <w:marBottom w:val="0"/>
                  <w:divBdr>
                    <w:top w:val="single" w:sz="2" w:space="0" w:color="D9D9E3"/>
                    <w:left w:val="single" w:sz="2" w:space="0" w:color="D9D9E3"/>
                    <w:bottom w:val="single" w:sz="2" w:space="0" w:color="D9D9E3"/>
                    <w:right w:val="single" w:sz="2" w:space="0" w:color="D9D9E3"/>
                  </w:divBdr>
                  <w:divsChild>
                    <w:div w:id="451706211">
                      <w:marLeft w:val="0"/>
                      <w:marRight w:val="0"/>
                      <w:marTop w:val="0"/>
                      <w:marBottom w:val="0"/>
                      <w:divBdr>
                        <w:top w:val="single" w:sz="2" w:space="0" w:color="D9D9E3"/>
                        <w:left w:val="single" w:sz="2" w:space="0" w:color="D9D9E3"/>
                        <w:bottom w:val="single" w:sz="2" w:space="0" w:color="D9D9E3"/>
                        <w:right w:val="single" w:sz="2" w:space="0" w:color="D9D9E3"/>
                      </w:divBdr>
                      <w:divsChild>
                        <w:div w:id="2135294406">
                          <w:marLeft w:val="0"/>
                          <w:marRight w:val="0"/>
                          <w:marTop w:val="0"/>
                          <w:marBottom w:val="0"/>
                          <w:divBdr>
                            <w:top w:val="single" w:sz="2" w:space="0" w:color="D9D9E3"/>
                            <w:left w:val="single" w:sz="2" w:space="0" w:color="D9D9E3"/>
                            <w:bottom w:val="single" w:sz="2" w:space="0" w:color="D9D9E3"/>
                            <w:right w:val="single" w:sz="2" w:space="0" w:color="D9D9E3"/>
                          </w:divBdr>
                          <w:divsChild>
                            <w:div w:id="8680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935386">
      <w:bodyDiv w:val="1"/>
      <w:marLeft w:val="0"/>
      <w:marRight w:val="0"/>
      <w:marTop w:val="0"/>
      <w:marBottom w:val="0"/>
      <w:divBdr>
        <w:top w:val="none" w:sz="0" w:space="0" w:color="auto"/>
        <w:left w:val="none" w:sz="0" w:space="0" w:color="auto"/>
        <w:bottom w:val="none" w:sz="0" w:space="0" w:color="auto"/>
        <w:right w:val="none" w:sz="0" w:space="0" w:color="auto"/>
      </w:divBdr>
      <w:divsChild>
        <w:div w:id="198932354">
          <w:marLeft w:val="0"/>
          <w:marRight w:val="0"/>
          <w:marTop w:val="0"/>
          <w:marBottom w:val="0"/>
          <w:divBdr>
            <w:top w:val="single" w:sz="2" w:space="0" w:color="auto"/>
            <w:left w:val="single" w:sz="2" w:space="0" w:color="auto"/>
            <w:bottom w:val="single" w:sz="6" w:space="0" w:color="auto"/>
            <w:right w:val="single" w:sz="2" w:space="0" w:color="auto"/>
          </w:divBdr>
          <w:divsChild>
            <w:div w:id="628321408">
              <w:marLeft w:val="0"/>
              <w:marRight w:val="0"/>
              <w:marTop w:val="100"/>
              <w:marBottom w:val="100"/>
              <w:divBdr>
                <w:top w:val="single" w:sz="2" w:space="0" w:color="D9D9E3"/>
                <w:left w:val="single" w:sz="2" w:space="0" w:color="D9D9E3"/>
                <w:bottom w:val="single" w:sz="2" w:space="0" w:color="D9D9E3"/>
                <w:right w:val="single" w:sz="2" w:space="0" w:color="D9D9E3"/>
              </w:divBdr>
              <w:divsChild>
                <w:div w:id="1995641608">
                  <w:marLeft w:val="0"/>
                  <w:marRight w:val="0"/>
                  <w:marTop w:val="0"/>
                  <w:marBottom w:val="0"/>
                  <w:divBdr>
                    <w:top w:val="single" w:sz="2" w:space="0" w:color="D9D9E3"/>
                    <w:left w:val="single" w:sz="2" w:space="0" w:color="D9D9E3"/>
                    <w:bottom w:val="single" w:sz="2" w:space="0" w:color="D9D9E3"/>
                    <w:right w:val="single" w:sz="2" w:space="0" w:color="D9D9E3"/>
                  </w:divBdr>
                  <w:divsChild>
                    <w:div w:id="247467726">
                      <w:marLeft w:val="0"/>
                      <w:marRight w:val="0"/>
                      <w:marTop w:val="0"/>
                      <w:marBottom w:val="0"/>
                      <w:divBdr>
                        <w:top w:val="single" w:sz="2" w:space="0" w:color="D9D9E3"/>
                        <w:left w:val="single" w:sz="2" w:space="0" w:color="D9D9E3"/>
                        <w:bottom w:val="single" w:sz="2" w:space="0" w:color="D9D9E3"/>
                        <w:right w:val="single" w:sz="2" w:space="0" w:color="D9D9E3"/>
                      </w:divBdr>
                      <w:divsChild>
                        <w:div w:id="1672757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7091668">
          <w:marLeft w:val="0"/>
          <w:marRight w:val="0"/>
          <w:marTop w:val="0"/>
          <w:marBottom w:val="0"/>
          <w:divBdr>
            <w:top w:val="single" w:sz="2" w:space="0" w:color="auto"/>
            <w:left w:val="single" w:sz="2" w:space="0" w:color="auto"/>
            <w:bottom w:val="single" w:sz="6" w:space="0" w:color="auto"/>
            <w:right w:val="single" w:sz="2" w:space="0" w:color="auto"/>
          </w:divBdr>
          <w:divsChild>
            <w:div w:id="1533104157">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727823">
                  <w:marLeft w:val="0"/>
                  <w:marRight w:val="0"/>
                  <w:marTop w:val="0"/>
                  <w:marBottom w:val="0"/>
                  <w:divBdr>
                    <w:top w:val="single" w:sz="2" w:space="0" w:color="D9D9E3"/>
                    <w:left w:val="single" w:sz="2" w:space="0" w:color="D9D9E3"/>
                    <w:bottom w:val="single" w:sz="2" w:space="0" w:color="D9D9E3"/>
                    <w:right w:val="single" w:sz="2" w:space="0" w:color="D9D9E3"/>
                  </w:divBdr>
                  <w:divsChild>
                    <w:div w:id="1963925619">
                      <w:marLeft w:val="0"/>
                      <w:marRight w:val="0"/>
                      <w:marTop w:val="0"/>
                      <w:marBottom w:val="0"/>
                      <w:divBdr>
                        <w:top w:val="single" w:sz="2" w:space="0" w:color="D9D9E3"/>
                        <w:left w:val="single" w:sz="2" w:space="0" w:color="D9D9E3"/>
                        <w:bottom w:val="single" w:sz="2" w:space="0" w:color="D9D9E3"/>
                        <w:right w:val="single" w:sz="2" w:space="0" w:color="D9D9E3"/>
                      </w:divBdr>
                      <w:divsChild>
                        <w:div w:id="1607611782">
                          <w:marLeft w:val="0"/>
                          <w:marRight w:val="0"/>
                          <w:marTop w:val="0"/>
                          <w:marBottom w:val="0"/>
                          <w:divBdr>
                            <w:top w:val="single" w:sz="2" w:space="0" w:color="D9D9E3"/>
                            <w:left w:val="single" w:sz="2" w:space="0" w:color="D9D9E3"/>
                            <w:bottom w:val="single" w:sz="2" w:space="0" w:color="D9D9E3"/>
                            <w:right w:val="single" w:sz="2" w:space="0" w:color="D9D9E3"/>
                          </w:divBdr>
                          <w:divsChild>
                            <w:div w:id="12077659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456978">
      <w:bodyDiv w:val="1"/>
      <w:marLeft w:val="0"/>
      <w:marRight w:val="0"/>
      <w:marTop w:val="0"/>
      <w:marBottom w:val="0"/>
      <w:divBdr>
        <w:top w:val="none" w:sz="0" w:space="0" w:color="auto"/>
        <w:left w:val="none" w:sz="0" w:space="0" w:color="auto"/>
        <w:bottom w:val="none" w:sz="0" w:space="0" w:color="auto"/>
        <w:right w:val="none" w:sz="0" w:space="0" w:color="auto"/>
      </w:divBdr>
      <w:divsChild>
        <w:div w:id="730810456">
          <w:marLeft w:val="0"/>
          <w:marRight w:val="0"/>
          <w:marTop w:val="0"/>
          <w:marBottom w:val="0"/>
          <w:divBdr>
            <w:top w:val="none" w:sz="0" w:space="0" w:color="auto"/>
            <w:left w:val="none" w:sz="0" w:space="0" w:color="auto"/>
            <w:bottom w:val="none" w:sz="0" w:space="0" w:color="auto"/>
            <w:right w:val="none" w:sz="0" w:space="0" w:color="auto"/>
          </w:divBdr>
          <w:divsChild>
            <w:div w:id="249893400">
              <w:marLeft w:val="0"/>
              <w:marRight w:val="0"/>
              <w:marTop w:val="0"/>
              <w:marBottom w:val="0"/>
              <w:divBdr>
                <w:top w:val="none" w:sz="0" w:space="0" w:color="auto"/>
                <w:left w:val="none" w:sz="0" w:space="0" w:color="auto"/>
                <w:bottom w:val="none" w:sz="0" w:space="0" w:color="auto"/>
                <w:right w:val="none" w:sz="0" w:space="0" w:color="auto"/>
              </w:divBdr>
            </w:div>
          </w:divsChild>
        </w:div>
        <w:div w:id="324674236">
          <w:marLeft w:val="0"/>
          <w:marRight w:val="0"/>
          <w:marTop w:val="300"/>
          <w:marBottom w:val="300"/>
          <w:divBdr>
            <w:top w:val="none" w:sz="0" w:space="0" w:color="auto"/>
            <w:left w:val="none" w:sz="0" w:space="0" w:color="auto"/>
            <w:bottom w:val="none" w:sz="0" w:space="0" w:color="auto"/>
            <w:right w:val="none" w:sz="0" w:space="0" w:color="auto"/>
          </w:divBdr>
        </w:div>
      </w:divsChild>
    </w:div>
    <w:div w:id="251739417">
      <w:bodyDiv w:val="1"/>
      <w:marLeft w:val="0"/>
      <w:marRight w:val="0"/>
      <w:marTop w:val="0"/>
      <w:marBottom w:val="0"/>
      <w:divBdr>
        <w:top w:val="none" w:sz="0" w:space="0" w:color="auto"/>
        <w:left w:val="none" w:sz="0" w:space="0" w:color="auto"/>
        <w:bottom w:val="none" w:sz="0" w:space="0" w:color="auto"/>
        <w:right w:val="none" w:sz="0" w:space="0" w:color="auto"/>
      </w:divBdr>
    </w:div>
    <w:div w:id="252784400">
      <w:bodyDiv w:val="1"/>
      <w:marLeft w:val="0"/>
      <w:marRight w:val="0"/>
      <w:marTop w:val="0"/>
      <w:marBottom w:val="0"/>
      <w:divBdr>
        <w:top w:val="none" w:sz="0" w:space="0" w:color="auto"/>
        <w:left w:val="none" w:sz="0" w:space="0" w:color="auto"/>
        <w:bottom w:val="none" w:sz="0" w:space="0" w:color="auto"/>
        <w:right w:val="none" w:sz="0" w:space="0" w:color="auto"/>
      </w:divBdr>
    </w:div>
    <w:div w:id="286205953">
      <w:bodyDiv w:val="1"/>
      <w:marLeft w:val="0"/>
      <w:marRight w:val="0"/>
      <w:marTop w:val="0"/>
      <w:marBottom w:val="0"/>
      <w:divBdr>
        <w:top w:val="none" w:sz="0" w:space="0" w:color="auto"/>
        <w:left w:val="none" w:sz="0" w:space="0" w:color="auto"/>
        <w:bottom w:val="none" w:sz="0" w:space="0" w:color="auto"/>
        <w:right w:val="none" w:sz="0" w:space="0" w:color="auto"/>
      </w:divBdr>
      <w:divsChild>
        <w:div w:id="1350836623">
          <w:marLeft w:val="0"/>
          <w:marRight w:val="0"/>
          <w:marTop w:val="0"/>
          <w:marBottom w:val="0"/>
          <w:divBdr>
            <w:top w:val="none" w:sz="0" w:space="0" w:color="auto"/>
            <w:left w:val="none" w:sz="0" w:space="0" w:color="auto"/>
            <w:bottom w:val="none" w:sz="0" w:space="0" w:color="auto"/>
            <w:right w:val="none" w:sz="0" w:space="0" w:color="auto"/>
          </w:divBdr>
        </w:div>
        <w:div w:id="1063060044">
          <w:marLeft w:val="0"/>
          <w:marRight w:val="0"/>
          <w:marTop w:val="0"/>
          <w:marBottom w:val="0"/>
          <w:divBdr>
            <w:top w:val="none" w:sz="0" w:space="0" w:color="auto"/>
            <w:left w:val="none" w:sz="0" w:space="0" w:color="auto"/>
            <w:bottom w:val="none" w:sz="0" w:space="0" w:color="auto"/>
            <w:right w:val="none" w:sz="0" w:space="0" w:color="auto"/>
          </w:divBdr>
          <w:divsChild>
            <w:div w:id="1635404065">
              <w:marLeft w:val="0"/>
              <w:marRight w:val="0"/>
              <w:marTop w:val="0"/>
              <w:marBottom w:val="0"/>
              <w:divBdr>
                <w:top w:val="none" w:sz="0" w:space="0" w:color="auto"/>
                <w:left w:val="none" w:sz="0" w:space="0" w:color="auto"/>
                <w:bottom w:val="none" w:sz="0" w:space="0" w:color="auto"/>
                <w:right w:val="none" w:sz="0" w:space="0" w:color="auto"/>
              </w:divBdr>
              <w:divsChild>
                <w:div w:id="187449137">
                  <w:marLeft w:val="0"/>
                  <w:marRight w:val="0"/>
                  <w:marTop w:val="0"/>
                  <w:marBottom w:val="0"/>
                  <w:divBdr>
                    <w:top w:val="none" w:sz="0" w:space="0" w:color="auto"/>
                    <w:left w:val="none" w:sz="0" w:space="0" w:color="auto"/>
                    <w:bottom w:val="none" w:sz="0" w:space="0" w:color="auto"/>
                    <w:right w:val="none" w:sz="0" w:space="0" w:color="auto"/>
                  </w:divBdr>
                </w:div>
              </w:divsChild>
            </w:div>
            <w:div w:id="2075348721">
              <w:marLeft w:val="0"/>
              <w:marRight w:val="0"/>
              <w:marTop w:val="0"/>
              <w:marBottom w:val="0"/>
              <w:divBdr>
                <w:top w:val="none" w:sz="0" w:space="0" w:color="auto"/>
                <w:left w:val="none" w:sz="0" w:space="0" w:color="auto"/>
                <w:bottom w:val="none" w:sz="0" w:space="0" w:color="auto"/>
                <w:right w:val="none" w:sz="0" w:space="0" w:color="auto"/>
              </w:divBdr>
              <w:divsChild>
                <w:div w:id="603224960">
                  <w:marLeft w:val="0"/>
                  <w:marRight w:val="0"/>
                  <w:marTop w:val="0"/>
                  <w:marBottom w:val="0"/>
                  <w:divBdr>
                    <w:top w:val="none" w:sz="0" w:space="0" w:color="auto"/>
                    <w:left w:val="none" w:sz="0" w:space="0" w:color="auto"/>
                    <w:bottom w:val="none" w:sz="0" w:space="0" w:color="auto"/>
                    <w:right w:val="none" w:sz="0" w:space="0" w:color="auto"/>
                  </w:divBdr>
                </w:div>
              </w:divsChild>
            </w:div>
            <w:div w:id="1259869874">
              <w:marLeft w:val="0"/>
              <w:marRight w:val="0"/>
              <w:marTop w:val="0"/>
              <w:marBottom w:val="0"/>
              <w:divBdr>
                <w:top w:val="none" w:sz="0" w:space="0" w:color="auto"/>
                <w:left w:val="none" w:sz="0" w:space="0" w:color="auto"/>
                <w:bottom w:val="none" w:sz="0" w:space="0" w:color="auto"/>
                <w:right w:val="none" w:sz="0" w:space="0" w:color="auto"/>
              </w:divBdr>
              <w:divsChild>
                <w:div w:id="224071092">
                  <w:marLeft w:val="0"/>
                  <w:marRight w:val="0"/>
                  <w:marTop w:val="0"/>
                  <w:marBottom w:val="0"/>
                  <w:divBdr>
                    <w:top w:val="none" w:sz="0" w:space="0" w:color="auto"/>
                    <w:left w:val="none" w:sz="0" w:space="0" w:color="auto"/>
                    <w:bottom w:val="none" w:sz="0" w:space="0" w:color="auto"/>
                    <w:right w:val="none" w:sz="0" w:space="0" w:color="auto"/>
                  </w:divBdr>
                </w:div>
              </w:divsChild>
            </w:div>
            <w:div w:id="356004050">
              <w:marLeft w:val="0"/>
              <w:marRight w:val="0"/>
              <w:marTop w:val="0"/>
              <w:marBottom w:val="0"/>
              <w:divBdr>
                <w:top w:val="none" w:sz="0" w:space="0" w:color="auto"/>
                <w:left w:val="none" w:sz="0" w:space="0" w:color="auto"/>
                <w:bottom w:val="none" w:sz="0" w:space="0" w:color="auto"/>
                <w:right w:val="none" w:sz="0" w:space="0" w:color="auto"/>
              </w:divBdr>
              <w:divsChild>
                <w:div w:id="1053580342">
                  <w:marLeft w:val="0"/>
                  <w:marRight w:val="0"/>
                  <w:marTop w:val="0"/>
                  <w:marBottom w:val="0"/>
                  <w:divBdr>
                    <w:top w:val="none" w:sz="0" w:space="0" w:color="auto"/>
                    <w:left w:val="none" w:sz="0" w:space="0" w:color="auto"/>
                    <w:bottom w:val="none" w:sz="0" w:space="0" w:color="auto"/>
                    <w:right w:val="none" w:sz="0" w:space="0" w:color="auto"/>
                  </w:divBdr>
                </w:div>
              </w:divsChild>
            </w:div>
            <w:div w:id="1410810386">
              <w:marLeft w:val="0"/>
              <w:marRight w:val="0"/>
              <w:marTop w:val="0"/>
              <w:marBottom w:val="0"/>
              <w:divBdr>
                <w:top w:val="none" w:sz="0" w:space="0" w:color="auto"/>
                <w:left w:val="none" w:sz="0" w:space="0" w:color="auto"/>
                <w:bottom w:val="none" w:sz="0" w:space="0" w:color="auto"/>
                <w:right w:val="none" w:sz="0" w:space="0" w:color="auto"/>
              </w:divBdr>
              <w:divsChild>
                <w:div w:id="92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1538">
          <w:marLeft w:val="0"/>
          <w:marRight w:val="0"/>
          <w:marTop w:val="0"/>
          <w:marBottom w:val="0"/>
          <w:divBdr>
            <w:top w:val="none" w:sz="0" w:space="0" w:color="auto"/>
            <w:left w:val="none" w:sz="0" w:space="0" w:color="auto"/>
            <w:bottom w:val="none" w:sz="0" w:space="0" w:color="auto"/>
            <w:right w:val="none" w:sz="0" w:space="0" w:color="auto"/>
          </w:divBdr>
          <w:divsChild>
            <w:div w:id="52775586">
              <w:marLeft w:val="0"/>
              <w:marRight w:val="0"/>
              <w:marTop w:val="0"/>
              <w:marBottom w:val="0"/>
              <w:divBdr>
                <w:top w:val="none" w:sz="0" w:space="0" w:color="auto"/>
                <w:left w:val="none" w:sz="0" w:space="0" w:color="auto"/>
                <w:bottom w:val="none" w:sz="0" w:space="0" w:color="auto"/>
                <w:right w:val="none" w:sz="0" w:space="0" w:color="auto"/>
              </w:divBdr>
              <w:divsChild>
                <w:div w:id="476610105">
                  <w:marLeft w:val="0"/>
                  <w:marRight w:val="0"/>
                  <w:marTop w:val="0"/>
                  <w:marBottom w:val="0"/>
                  <w:divBdr>
                    <w:top w:val="none" w:sz="0" w:space="0" w:color="auto"/>
                    <w:left w:val="none" w:sz="0" w:space="0" w:color="auto"/>
                    <w:bottom w:val="none" w:sz="0" w:space="0" w:color="auto"/>
                    <w:right w:val="none" w:sz="0" w:space="0" w:color="auto"/>
                  </w:divBdr>
                </w:div>
              </w:divsChild>
            </w:div>
            <w:div w:id="1499728690">
              <w:marLeft w:val="0"/>
              <w:marRight w:val="0"/>
              <w:marTop w:val="0"/>
              <w:marBottom w:val="0"/>
              <w:divBdr>
                <w:top w:val="none" w:sz="0" w:space="0" w:color="auto"/>
                <w:left w:val="none" w:sz="0" w:space="0" w:color="auto"/>
                <w:bottom w:val="none" w:sz="0" w:space="0" w:color="auto"/>
                <w:right w:val="none" w:sz="0" w:space="0" w:color="auto"/>
              </w:divBdr>
              <w:divsChild>
                <w:div w:id="1292324551">
                  <w:marLeft w:val="0"/>
                  <w:marRight w:val="0"/>
                  <w:marTop w:val="0"/>
                  <w:marBottom w:val="0"/>
                  <w:divBdr>
                    <w:top w:val="none" w:sz="0" w:space="0" w:color="auto"/>
                    <w:left w:val="none" w:sz="0" w:space="0" w:color="auto"/>
                    <w:bottom w:val="none" w:sz="0" w:space="0" w:color="auto"/>
                    <w:right w:val="none" w:sz="0" w:space="0" w:color="auto"/>
                  </w:divBdr>
                </w:div>
              </w:divsChild>
            </w:div>
            <w:div w:id="236936658">
              <w:marLeft w:val="0"/>
              <w:marRight w:val="0"/>
              <w:marTop w:val="0"/>
              <w:marBottom w:val="0"/>
              <w:divBdr>
                <w:top w:val="none" w:sz="0" w:space="0" w:color="auto"/>
                <w:left w:val="none" w:sz="0" w:space="0" w:color="auto"/>
                <w:bottom w:val="none" w:sz="0" w:space="0" w:color="auto"/>
                <w:right w:val="none" w:sz="0" w:space="0" w:color="auto"/>
              </w:divBdr>
              <w:divsChild>
                <w:div w:id="58019699">
                  <w:marLeft w:val="0"/>
                  <w:marRight w:val="0"/>
                  <w:marTop w:val="0"/>
                  <w:marBottom w:val="0"/>
                  <w:divBdr>
                    <w:top w:val="none" w:sz="0" w:space="0" w:color="auto"/>
                    <w:left w:val="none" w:sz="0" w:space="0" w:color="auto"/>
                    <w:bottom w:val="none" w:sz="0" w:space="0" w:color="auto"/>
                    <w:right w:val="none" w:sz="0" w:space="0" w:color="auto"/>
                  </w:divBdr>
                </w:div>
              </w:divsChild>
            </w:div>
            <w:div w:id="643512371">
              <w:marLeft w:val="0"/>
              <w:marRight w:val="0"/>
              <w:marTop w:val="0"/>
              <w:marBottom w:val="0"/>
              <w:divBdr>
                <w:top w:val="none" w:sz="0" w:space="0" w:color="auto"/>
                <w:left w:val="none" w:sz="0" w:space="0" w:color="auto"/>
                <w:bottom w:val="none" w:sz="0" w:space="0" w:color="auto"/>
                <w:right w:val="none" w:sz="0" w:space="0" w:color="auto"/>
              </w:divBdr>
              <w:divsChild>
                <w:div w:id="1971469657">
                  <w:marLeft w:val="0"/>
                  <w:marRight w:val="0"/>
                  <w:marTop w:val="0"/>
                  <w:marBottom w:val="0"/>
                  <w:divBdr>
                    <w:top w:val="none" w:sz="0" w:space="0" w:color="auto"/>
                    <w:left w:val="none" w:sz="0" w:space="0" w:color="auto"/>
                    <w:bottom w:val="none" w:sz="0" w:space="0" w:color="auto"/>
                    <w:right w:val="none" w:sz="0" w:space="0" w:color="auto"/>
                  </w:divBdr>
                </w:div>
              </w:divsChild>
            </w:div>
            <w:div w:id="1824276890">
              <w:marLeft w:val="0"/>
              <w:marRight w:val="0"/>
              <w:marTop w:val="0"/>
              <w:marBottom w:val="0"/>
              <w:divBdr>
                <w:top w:val="none" w:sz="0" w:space="0" w:color="auto"/>
                <w:left w:val="none" w:sz="0" w:space="0" w:color="auto"/>
                <w:bottom w:val="none" w:sz="0" w:space="0" w:color="auto"/>
                <w:right w:val="none" w:sz="0" w:space="0" w:color="auto"/>
              </w:divBdr>
              <w:divsChild>
                <w:div w:id="3657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3302">
          <w:marLeft w:val="0"/>
          <w:marRight w:val="0"/>
          <w:marTop w:val="0"/>
          <w:marBottom w:val="0"/>
          <w:divBdr>
            <w:top w:val="none" w:sz="0" w:space="0" w:color="auto"/>
            <w:left w:val="none" w:sz="0" w:space="0" w:color="auto"/>
            <w:bottom w:val="none" w:sz="0" w:space="0" w:color="auto"/>
            <w:right w:val="none" w:sz="0" w:space="0" w:color="auto"/>
          </w:divBdr>
          <w:divsChild>
            <w:div w:id="624041078">
              <w:marLeft w:val="0"/>
              <w:marRight w:val="0"/>
              <w:marTop w:val="0"/>
              <w:marBottom w:val="0"/>
              <w:divBdr>
                <w:top w:val="none" w:sz="0" w:space="0" w:color="auto"/>
                <w:left w:val="none" w:sz="0" w:space="0" w:color="auto"/>
                <w:bottom w:val="none" w:sz="0" w:space="0" w:color="auto"/>
                <w:right w:val="none" w:sz="0" w:space="0" w:color="auto"/>
              </w:divBdr>
              <w:divsChild>
                <w:div w:id="323436513">
                  <w:marLeft w:val="0"/>
                  <w:marRight w:val="0"/>
                  <w:marTop w:val="0"/>
                  <w:marBottom w:val="0"/>
                  <w:divBdr>
                    <w:top w:val="none" w:sz="0" w:space="0" w:color="auto"/>
                    <w:left w:val="none" w:sz="0" w:space="0" w:color="auto"/>
                    <w:bottom w:val="none" w:sz="0" w:space="0" w:color="auto"/>
                    <w:right w:val="none" w:sz="0" w:space="0" w:color="auto"/>
                  </w:divBdr>
                </w:div>
              </w:divsChild>
            </w:div>
            <w:div w:id="1512531468">
              <w:marLeft w:val="0"/>
              <w:marRight w:val="0"/>
              <w:marTop w:val="0"/>
              <w:marBottom w:val="0"/>
              <w:divBdr>
                <w:top w:val="none" w:sz="0" w:space="0" w:color="auto"/>
                <w:left w:val="none" w:sz="0" w:space="0" w:color="auto"/>
                <w:bottom w:val="none" w:sz="0" w:space="0" w:color="auto"/>
                <w:right w:val="none" w:sz="0" w:space="0" w:color="auto"/>
              </w:divBdr>
              <w:divsChild>
                <w:div w:id="1862473672">
                  <w:marLeft w:val="0"/>
                  <w:marRight w:val="0"/>
                  <w:marTop w:val="0"/>
                  <w:marBottom w:val="0"/>
                  <w:divBdr>
                    <w:top w:val="none" w:sz="0" w:space="0" w:color="auto"/>
                    <w:left w:val="none" w:sz="0" w:space="0" w:color="auto"/>
                    <w:bottom w:val="none" w:sz="0" w:space="0" w:color="auto"/>
                    <w:right w:val="none" w:sz="0" w:space="0" w:color="auto"/>
                  </w:divBdr>
                </w:div>
              </w:divsChild>
            </w:div>
            <w:div w:id="370568206">
              <w:marLeft w:val="0"/>
              <w:marRight w:val="0"/>
              <w:marTop w:val="0"/>
              <w:marBottom w:val="0"/>
              <w:divBdr>
                <w:top w:val="none" w:sz="0" w:space="0" w:color="auto"/>
                <w:left w:val="none" w:sz="0" w:space="0" w:color="auto"/>
                <w:bottom w:val="none" w:sz="0" w:space="0" w:color="auto"/>
                <w:right w:val="none" w:sz="0" w:space="0" w:color="auto"/>
              </w:divBdr>
              <w:divsChild>
                <w:div w:id="691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37486">
      <w:bodyDiv w:val="1"/>
      <w:marLeft w:val="0"/>
      <w:marRight w:val="0"/>
      <w:marTop w:val="0"/>
      <w:marBottom w:val="0"/>
      <w:divBdr>
        <w:top w:val="none" w:sz="0" w:space="0" w:color="auto"/>
        <w:left w:val="none" w:sz="0" w:space="0" w:color="auto"/>
        <w:bottom w:val="none" w:sz="0" w:space="0" w:color="auto"/>
        <w:right w:val="none" w:sz="0" w:space="0" w:color="auto"/>
      </w:divBdr>
      <w:divsChild>
        <w:div w:id="261181121">
          <w:marLeft w:val="0"/>
          <w:marRight w:val="0"/>
          <w:marTop w:val="0"/>
          <w:marBottom w:val="0"/>
          <w:divBdr>
            <w:top w:val="single" w:sz="2" w:space="0" w:color="auto"/>
            <w:left w:val="single" w:sz="2" w:space="0" w:color="auto"/>
            <w:bottom w:val="single" w:sz="6" w:space="0" w:color="auto"/>
            <w:right w:val="single" w:sz="2" w:space="0" w:color="auto"/>
          </w:divBdr>
          <w:divsChild>
            <w:div w:id="186594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494759773">
                  <w:marLeft w:val="0"/>
                  <w:marRight w:val="0"/>
                  <w:marTop w:val="0"/>
                  <w:marBottom w:val="0"/>
                  <w:divBdr>
                    <w:top w:val="single" w:sz="2" w:space="0" w:color="D9D9E3"/>
                    <w:left w:val="single" w:sz="2" w:space="0" w:color="D9D9E3"/>
                    <w:bottom w:val="single" w:sz="2" w:space="0" w:color="D9D9E3"/>
                    <w:right w:val="single" w:sz="2" w:space="0" w:color="D9D9E3"/>
                  </w:divBdr>
                  <w:divsChild>
                    <w:div w:id="1694259133">
                      <w:marLeft w:val="0"/>
                      <w:marRight w:val="0"/>
                      <w:marTop w:val="0"/>
                      <w:marBottom w:val="0"/>
                      <w:divBdr>
                        <w:top w:val="single" w:sz="2" w:space="0" w:color="D9D9E3"/>
                        <w:left w:val="single" w:sz="2" w:space="0" w:color="D9D9E3"/>
                        <w:bottom w:val="single" w:sz="2" w:space="0" w:color="D9D9E3"/>
                        <w:right w:val="single" w:sz="2" w:space="0" w:color="D9D9E3"/>
                      </w:divBdr>
                      <w:divsChild>
                        <w:div w:id="1203056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8464763">
          <w:marLeft w:val="0"/>
          <w:marRight w:val="0"/>
          <w:marTop w:val="0"/>
          <w:marBottom w:val="0"/>
          <w:divBdr>
            <w:top w:val="single" w:sz="2" w:space="0" w:color="auto"/>
            <w:left w:val="single" w:sz="2" w:space="0" w:color="auto"/>
            <w:bottom w:val="single" w:sz="6" w:space="0" w:color="auto"/>
            <w:right w:val="single" w:sz="2" w:space="0" w:color="auto"/>
          </w:divBdr>
          <w:divsChild>
            <w:div w:id="1240140801">
              <w:marLeft w:val="0"/>
              <w:marRight w:val="0"/>
              <w:marTop w:val="100"/>
              <w:marBottom w:val="100"/>
              <w:divBdr>
                <w:top w:val="single" w:sz="2" w:space="0" w:color="D9D9E3"/>
                <w:left w:val="single" w:sz="2" w:space="0" w:color="D9D9E3"/>
                <w:bottom w:val="single" w:sz="2" w:space="0" w:color="D9D9E3"/>
                <w:right w:val="single" w:sz="2" w:space="0" w:color="D9D9E3"/>
              </w:divBdr>
              <w:divsChild>
                <w:div w:id="1649939890">
                  <w:marLeft w:val="0"/>
                  <w:marRight w:val="0"/>
                  <w:marTop w:val="0"/>
                  <w:marBottom w:val="0"/>
                  <w:divBdr>
                    <w:top w:val="single" w:sz="2" w:space="0" w:color="D9D9E3"/>
                    <w:left w:val="single" w:sz="2" w:space="0" w:color="D9D9E3"/>
                    <w:bottom w:val="single" w:sz="2" w:space="0" w:color="D9D9E3"/>
                    <w:right w:val="single" w:sz="2" w:space="0" w:color="D9D9E3"/>
                  </w:divBdr>
                  <w:divsChild>
                    <w:div w:id="1257713226">
                      <w:marLeft w:val="0"/>
                      <w:marRight w:val="0"/>
                      <w:marTop w:val="0"/>
                      <w:marBottom w:val="0"/>
                      <w:divBdr>
                        <w:top w:val="single" w:sz="2" w:space="0" w:color="D9D9E3"/>
                        <w:left w:val="single" w:sz="2" w:space="0" w:color="D9D9E3"/>
                        <w:bottom w:val="single" w:sz="2" w:space="0" w:color="D9D9E3"/>
                        <w:right w:val="single" w:sz="2" w:space="0" w:color="D9D9E3"/>
                      </w:divBdr>
                      <w:divsChild>
                        <w:div w:id="896941456">
                          <w:marLeft w:val="0"/>
                          <w:marRight w:val="0"/>
                          <w:marTop w:val="0"/>
                          <w:marBottom w:val="0"/>
                          <w:divBdr>
                            <w:top w:val="single" w:sz="2" w:space="0" w:color="D9D9E3"/>
                            <w:left w:val="single" w:sz="2" w:space="0" w:color="D9D9E3"/>
                            <w:bottom w:val="single" w:sz="2" w:space="0" w:color="D9D9E3"/>
                            <w:right w:val="single" w:sz="2" w:space="0" w:color="D9D9E3"/>
                          </w:divBdr>
                          <w:divsChild>
                            <w:div w:id="1610313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32071216">
      <w:bodyDiv w:val="1"/>
      <w:marLeft w:val="0"/>
      <w:marRight w:val="0"/>
      <w:marTop w:val="0"/>
      <w:marBottom w:val="0"/>
      <w:divBdr>
        <w:top w:val="none" w:sz="0" w:space="0" w:color="auto"/>
        <w:left w:val="none" w:sz="0" w:space="0" w:color="auto"/>
        <w:bottom w:val="none" w:sz="0" w:space="0" w:color="auto"/>
        <w:right w:val="none" w:sz="0" w:space="0" w:color="auto"/>
      </w:divBdr>
      <w:divsChild>
        <w:div w:id="638153287">
          <w:marLeft w:val="0"/>
          <w:marRight w:val="0"/>
          <w:marTop w:val="0"/>
          <w:marBottom w:val="0"/>
          <w:divBdr>
            <w:top w:val="single" w:sz="2" w:space="0" w:color="auto"/>
            <w:left w:val="single" w:sz="2" w:space="0" w:color="auto"/>
            <w:bottom w:val="single" w:sz="6" w:space="0" w:color="auto"/>
            <w:right w:val="single" w:sz="2" w:space="0" w:color="auto"/>
          </w:divBdr>
          <w:divsChild>
            <w:div w:id="205456916">
              <w:marLeft w:val="0"/>
              <w:marRight w:val="0"/>
              <w:marTop w:val="100"/>
              <w:marBottom w:val="100"/>
              <w:divBdr>
                <w:top w:val="single" w:sz="2" w:space="0" w:color="D9D9E3"/>
                <w:left w:val="single" w:sz="2" w:space="0" w:color="D9D9E3"/>
                <w:bottom w:val="single" w:sz="2" w:space="0" w:color="D9D9E3"/>
                <w:right w:val="single" w:sz="2" w:space="0" w:color="D9D9E3"/>
              </w:divBdr>
              <w:divsChild>
                <w:div w:id="668681024">
                  <w:marLeft w:val="0"/>
                  <w:marRight w:val="0"/>
                  <w:marTop w:val="0"/>
                  <w:marBottom w:val="0"/>
                  <w:divBdr>
                    <w:top w:val="single" w:sz="2" w:space="0" w:color="D9D9E3"/>
                    <w:left w:val="single" w:sz="2" w:space="0" w:color="D9D9E3"/>
                    <w:bottom w:val="single" w:sz="2" w:space="0" w:color="D9D9E3"/>
                    <w:right w:val="single" w:sz="2" w:space="0" w:color="D9D9E3"/>
                  </w:divBdr>
                  <w:divsChild>
                    <w:div w:id="2074740357">
                      <w:marLeft w:val="0"/>
                      <w:marRight w:val="0"/>
                      <w:marTop w:val="0"/>
                      <w:marBottom w:val="0"/>
                      <w:divBdr>
                        <w:top w:val="single" w:sz="2" w:space="0" w:color="D9D9E3"/>
                        <w:left w:val="single" w:sz="2" w:space="0" w:color="D9D9E3"/>
                        <w:bottom w:val="single" w:sz="2" w:space="0" w:color="D9D9E3"/>
                        <w:right w:val="single" w:sz="2" w:space="0" w:color="D9D9E3"/>
                      </w:divBdr>
                      <w:divsChild>
                        <w:div w:id="14590346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02930774">
          <w:marLeft w:val="0"/>
          <w:marRight w:val="0"/>
          <w:marTop w:val="0"/>
          <w:marBottom w:val="0"/>
          <w:divBdr>
            <w:top w:val="single" w:sz="2" w:space="0" w:color="auto"/>
            <w:left w:val="single" w:sz="2" w:space="0" w:color="auto"/>
            <w:bottom w:val="single" w:sz="6" w:space="0" w:color="auto"/>
            <w:right w:val="single" w:sz="2" w:space="0" w:color="auto"/>
          </w:divBdr>
          <w:divsChild>
            <w:div w:id="489101688">
              <w:marLeft w:val="0"/>
              <w:marRight w:val="0"/>
              <w:marTop w:val="100"/>
              <w:marBottom w:val="100"/>
              <w:divBdr>
                <w:top w:val="single" w:sz="2" w:space="0" w:color="D9D9E3"/>
                <w:left w:val="single" w:sz="2" w:space="0" w:color="D9D9E3"/>
                <w:bottom w:val="single" w:sz="2" w:space="0" w:color="D9D9E3"/>
                <w:right w:val="single" w:sz="2" w:space="0" w:color="D9D9E3"/>
              </w:divBdr>
              <w:divsChild>
                <w:div w:id="418260979">
                  <w:marLeft w:val="0"/>
                  <w:marRight w:val="0"/>
                  <w:marTop w:val="0"/>
                  <w:marBottom w:val="0"/>
                  <w:divBdr>
                    <w:top w:val="single" w:sz="2" w:space="0" w:color="D9D9E3"/>
                    <w:left w:val="single" w:sz="2" w:space="0" w:color="D9D9E3"/>
                    <w:bottom w:val="single" w:sz="2" w:space="0" w:color="D9D9E3"/>
                    <w:right w:val="single" w:sz="2" w:space="0" w:color="D9D9E3"/>
                  </w:divBdr>
                  <w:divsChild>
                    <w:div w:id="1726950854">
                      <w:marLeft w:val="0"/>
                      <w:marRight w:val="0"/>
                      <w:marTop w:val="0"/>
                      <w:marBottom w:val="0"/>
                      <w:divBdr>
                        <w:top w:val="single" w:sz="2" w:space="0" w:color="D9D9E3"/>
                        <w:left w:val="single" w:sz="2" w:space="0" w:color="D9D9E3"/>
                        <w:bottom w:val="single" w:sz="2" w:space="0" w:color="D9D9E3"/>
                        <w:right w:val="single" w:sz="2" w:space="0" w:color="D9D9E3"/>
                      </w:divBdr>
                      <w:divsChild>
                        <w:div w:id="256329842">
                          <w:marLeft w:val="0"/>
                          <w:marRight w:val="0"/>
                          <w:marTop w:val="0"/>
                          <w:marBottom w:val="0"/>
                          <w:divBdr>
                            <w:top w:val="single" w:sz="2" w:space="0" w:color="D9D9E3"/>
                            <w:left w:val="single" w:sz="2" w:space="0" w:color="D9D9E3"/>
                            <w:bottom w:val="single" w:sz="2" w:space="0" w:color="D9D9E3"/>
                            <w:right w:val="single" w:sz="2" w:space="0" w:color="D9D9E3"/>
                          </w:divBdr>
                          <w:divsChild>
                            <w:div w:id="1193686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1930114">
      <w:bodyDiv w:val="1"/>
      <w:marLeft w:val="0"/>
      <w:marRight w:val="0"/>
      <w:marTop w:val="0"/>
      <w:marBottom w:val="0"/>
      <w:divBdr>
        <w:top w:val="none" w:sz="0" w:space="0" w:color="auto"/>
        <w:left w:val="none" w:sz="0" w:space="0" w:color="auto"/>
        <w:bottom w:val="none" w:sz="0" w:space="0" w:color="auto"/>
        <w:right w:val="none" w:sz="0" w:space="0" w:color="auto"/>
      </w:divBdr>
      <w:divsChild>
        <w:div w:id="1118985323">
          <w:marLeft w:val="0"/>
          <w:marRight w:val="0"/>
          <w:marTop w:val="0"/>
          <w:marBottom w:val="0"/>
          <w:divBdr>
            <w:top w:val="none" w:sz="0" w:space="0" w:color="auto"/>
            <w:left w:val="none" w:sz="0" w:space="0" w:color="auto"/>
            <w:bottom w:val="none" w:sz="0" w:space="0" w:color="auto"/>
            <w:right w:val="none" w:sz="0" w:space="0" w:color="auto"/>
          </w:divBdr>
          <w:divsChild>
            <w:div w:id="5927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96013">
      <w:bodyDiv w:val="1"/>
      <w:marLeft w:val="0"/>
      <w:marRight w:val="0"/>
      <w:marTop w:val="0"/>
      <w:marBottom w:val="0"/>
      <w:divBdr>
        <w:top w:val="none" w:sz="0" w:space="0" w:color="auto"/>
        <w:left w:val="none" w:sz="0" w:space="0" w:color="auto"/>
        <w:bottom w:val="none" w:sz="0" w:space="0" w:color="auto"/>
        <w:right w:val="none" w:sz="0" w:space="0" w:color="auto"/>
      </w:divBdr>
    </w:div>
    <w:div w:id="431364213">
      <w:bodyDiv w:val="1"/>
      <w:marLeft w:val="0"/>
      <w:marRight w:val="0"/>
      <w:marTop w:val="0"/>
      <w:marBottom w:val="0"/>
      <w:divBdr>
        <w:top w:val="none" w:sz="0" w:space="0" w:color="auto"/>
        <w:left w:val="none" w:sz="0" w:space="0" w:color="auto"/>
        <w:bottom w:val="none" w:sz="0" w:space="0" w:color="auto"/>
        <w:right w:val="none" w:sz="0" w:space="0" w:color="auto"/>
      </w:divBdr>
      <w:divsChild>
        <w:div w:id="620264133">
          <w:marLeft w:val="0"/>
          <w:marRight w:val="0"/>
          <w:marTop w:val="0"/>
          <w:marBottom w:val="0"/>
          <w:divBdr>
            <w:top w:val="single" w:sz="2" w:space="0" w:color="auto"/>
            <w:left w:val="single" w:sz="2" w:space="0" w:color="auto"/>
            <w:bottom w:val="single" w:sz="6" w:space="0" w:color="auto"/>
            <w:right w:val="single" w:sz="2" w:space="0" w:color="auto"/>
          </w:divBdr>
          <w:divsChild>
            <w:div w:id="376273542">
              <w:marLeft w:val="0"/>
              <w:marRight w:val="0"/>
              <w:marTop w:val="100"/>
              <w:marBottom w:val="100"/>
              <w:divBdr>
                <w:top w:val="single" w:sz="2" w:space="0" w:color="D9D9E3"/>
                <w:left w:val="single" w:sz="2" w:space="0" w:color="D9D9E3"/>
                <w:bottom w:val="single" w:sz="2" w:space="0" w:color="D9D9E3"/>
                <w:right w:val="single" w:sz="2" w:space="0" w:color="D9D9E3"/>
              </w:divBdr>
              <w:divsChild>
                <w:div w:id="2071921695">
                  <w:marLeft w:val="0"/>
                  <w:marRight w:val="0"/>
                  <w:marTop w:val="0"/>
                  <w:marBottom w:val="0"/>
                  <w:divBdr>
                    <w:top w:val="single" w:sz="2" w:space="0" w:color="D9D9E3"/>
                    <w:left w:val="single" w:sz="2" w:space="0" w:color="D9D9E3"/>
                    <w:bottom w:val="single" w:sz="2" w:space="0" w:color="D9D9E3"/>
                    <w:right w:val="single" w:sz="2" w:space="0" w:color="D9D9E3"/>
                  </w:divBdr>
                  <w:divsChild>
                    <w:div w:id="525143681">
                      <w:marLeft w:val="0"/>
                      <w:marRight w:val="0"/>
                      <w:marTop w:val="0"/>
                      <w:marBottom w:val="0"/>
                      <w:divBdr>
                        <w:top w:val="single" w:sz="2" w:space="0" w:color="D9D9E3"/>
                        <w:left w:val="single" w:sz="2" w:space="0" w:color="D9D9E3"/>
                        <w:bottom w:val="single" w:sz="2" w:space="0" w:color="D9D9E3"/>
                        <w:right w:val="single" w:sz="2" w:space="0" w:color="D9D9E3"/>
                      </w:divBdr>
                      <w:divsChild>
                        <w:div w:id="380056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7749411">
          <w:marLeft w:val="0"/>
          <w:marRight w:val="0"/>
          <w:marTop w:val="0"/>
          <w:marBottom w:val="0"/>
          <w:divBdr>
            <w:top w:val="single" w:sz="2" w:space="0" w:color="auto"/>
            <w:left w:val="single" w:sz="2" w:space="0" w:color="auto"/>
            <w:bottom w:val="single" w:sz="6" w:space="0" w:color="auto"/>
            <w:right w:val="single" w:sz="2" w:space="0" w:color="auto"/>
          </w:divBdr>
          <w:divsChild>
            <w:div w:id="451170959">
              <w:marLeft w:val="0"/>
              <w:marRight w:val="0"/>
              <w:marTop w:val="100"/>
              <w:marBottom w:val="100"/>
              <w:divBdr>
                <w:top w:val="single" w:sz="2" w:space="0" w:color="D9D9E3"/>
                <w:left w:val="single" w:sz="2" w:space="0" w:color="D9D9E3"/>
                <w:bottom w:val="single" w:sz="2" w:space="0" w:color="D9D9E3"/>
                <w:right w:val="single" w:sz="2" w:space="0" w:color="D9D9E3"/>
              </w:divBdr>
              <w:divsChild>
                <w:div w:id="1818835719">
                  <w:marLeft w:val="0"/>
                  <w:marRight w:val="0"/>
                  <w:marTop w:val="0"/>
                  <w:marBottom w:val="0"/>
                  <w:divBdr>
                    <w:top w:val="single" w:sz="2" w:space="0" w:color="D9D9E3"/>
                    <w:left w:val="single" w:sz="2" w:space="0" w:color="D9D9E3"/>
                    <w:bottom w:val="single" w:sz="2" w:space="0" w:color="D9D9E3"/>
                    <w:right w:val="single" w:sz="2" w:space="0" w:color="D9D9E3"/>
                  </w:divBdr>
                  <w:divsChild>
                    <w:div w:id="1665426525">
                      <w:marLeft w:val="0"/>
                      <w:marRight w:val="0"/>
                      <w:marTop w:val="0"/>
                      <w:marBottom w:val="0"/>
                      <w:divBdr>
                        <w:top w:val="single" w:sz="2" w:space="0" w:color="D9D9E3"/>
                        <w:left w:val="single" w:sz="2" w:space="0" w:color="D9D9E3"/>
                        <w:bottom w:val="single" w:sz="2" w:space="0" w:color="D9D9E3"/>
                        <w:right w:val="single" w:sz="2" w:space="0" w:color="D9D9E3"/>
                      </w:divBdr>
                      <w:divsChild>
                        <w:div w:id="492571071">
                          <w:marLeft w:val="0"/>
                          <w:marRight w:val="0"/>
                          <w:marTop w:val="0"/>
                          <w:marBottom w:val="0"/>
                          <w:divBdr>
                            <w:top w:val="single" w:sz="2" w:space="0" w:color="D9D9E3"/>
                            <w:left w:val="single" w:sz="2" w:space="0" w:color="D9D9E3"/>
                            <w:bottom w:val="single" w:sz="2" w:space="0" w:color="D9D9E3"/>
                            <w:right w:val="single" w:sz="2" w:space="0" w:color="D9D9E3"/>
                          </w:divBdr>
                          <w:divsChild>
                            <w:div w:id="352456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8272513">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0"/>
          <w:divBdr>
            <w:top w:val="single" w:sz="2" w:space="0" w:color="auto"/>
            <w:left w:val="single" w:sz="2" w:space="0" w:color="auto"/>
            <w:bottom w:val="single" w:sz="6" w:space="0" w:color="auto"/>
            <w:right w:val="single" w:sz="2" w:space="0" w:color="auto"/>
          </w:divBdr>
          <w:divsChild>
            <w:div w:id="1622958899">
              <w:marLeft w:val="0"/>
              <w:marRight w:val="0"/>
              <w:marTop w:val="100"/>
              <w:marBottom w:val="100"/>
              <w:divBdr>
                <w:top w:val="single" w:sz="2" w:space="0" w:color="D9D9E3"/>
                <w:left w:val="single" w:sz="2" w:space="0" w:color="D9D9E3"/>
                <w:bottom w:val="single" w:sz="2" w:space="0" w:color="D9D9E3"/>
                <w:right w:val="single" w:sz="2" w:space="0" w:color="D9D9E3"/>
              </w:divBdr>
              <w:divsChild>
                <w:div w:id="538471998">
                  <w:marLeft w:val="0"/>
                  <w:marRight w:val="0"/>
                  <w:marTop w:val="0"/>
                  <w:marBottom w:val="0"/>
                  <w:divBdr>
                    <w:top w:val="single" w:sz="2" w:space="0" w:color="D9D9E3"/>
                    <w:left w:val="single" w:sz="2" w:space="0" w:color="D9D9E3"/>
                    <w:bottom w:val="single" w:sz="2" w:space="0" w:color="D9D9E3"/>
                    <w:right w:val="single" w:sz="2" w:space="0" w:color="D9D9E3"/>
                  </w:divBdr>
                  <w:divsChild>
                    <w:div w:id="1008404398">
                      <w:marLeft w:val="0"/>
                      <w:marRight w:val="0"/>
                      <w:marTop w:val="0"/>
                      <w:marBottom w:val="0"/>
                      <w:divBdr>
                        <w:top w:val="single" w:sz="2" w:space="0" w:color="D9D9E3"/>
                        <w:left w:val="single" w:sz="2" w:space="0" w:color="D9D9E3"/>
                        <w:bottom w:val="single" w:sz="2" w:space="0" w:color="D9D9E3"/>
                        <w:right w:val="single" w:sz="2" w:space="0" w:color="D9D9E3"/>
                      </w:divBdr>
                      <w:divsChild>
                        <w:div w:id="1199078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88022713">
          <w:marLeft w:val="0"/>
          <w:marRight w:val="0"/>
          <w:marTop w:val="0"/>
          <w:marBottom w:val="0"/>
          <w:divBdr>
            <w:top w:val="single" w:sz="2" w:space="0" w:color="auto"/>
            <w:left w:val="single" w:sz="2" w:space="0" w:color="auto"/>
            <w:bottom w:val="single" w:sz="6" w:space="0" w:color="auto"/>
            <w:right w:val="single" w:sz="2" w:space="0" w:color="auto"/>
          </w:divBdr>
          <w:divsChild>
            <w:div w:id="1922451332">
              <w:marLeft w:val="0"/>
              <w:marRight w:val="0"/>
              <w:marTop w:val="100"/>
              <w:marBottom w:val="100"/>
              <w:divBdr>
                <w:top w:val="single" w:sz="2" w:space="0" w:color="D9D9E3"/>
                <w:left w:val="single" w:sz="2" w:space="0" w:color="D9D9E3"/>
                <w:bottom w:val="single" w:sz="2" w:space="0" w:color="D9D9E3"/>
                <w:right w:val="single" w:sz="2" w:space="0" w:color="D9D9E3"/>
              </w:divBdr>
              <w:divsChild>
                <w:div w:id="555166259">
                  <w:marLeft w:val="0"/>
                  <w:marRight w:val="0"/>
                  <w:marTop w:val="0"/>
                  <w:marBottom w:val="0"/>
                  <w:divBdr>
                    <w:top w:val="single" w:sz="2" w:space="0" w:color="D9D9E3"/>
                    <w:left w:val="single" w:sz="2" w:space="0" w:color="D9D9E3"/>
                    <w:bottom w:val="single" w:sz="2" w:space="0" w:color="D9D9E3"/>
                    <w:right w:val="single" w:sz="2" w:space="0" w:color="D9D9E3"/>
                  </w:divBdr>
                  <w:divsChild>
                    <w:div w:id="1007485419">
                      <w:marLeft w:val="0"/>
                      <w:marRight w:val="0"/>
                      <w:marTop w:val="0"/>
                      <w:marBottom w:val="0"/>
                      <w:divBdr>
                        <w:top w:val="single" w:sz="2" w:space="0" w:color="D9D9E3"/>
                        <w:left w:val="single" w:sz="2" w:space="0" w:color="D9D9E3"/>
                        <w:bottom w:val="single" w:sz="2" w:space="0" w:color="D9D9E3"/>
                        <w:right w:val="single" w:sz="2" w:space="0" w:color="D9D9E3"/>
                      </w:divBdr>
                      <w:divsChild>
                        <w:div w:id="1571769231">
                          <w:marLeft w:val="0"/>
                          <w:marRight w:val="0"/>
                          <w:marTop w:val="0"/>
                          <w:marBottom w:val="0"/>
                          <w:divBdr>
                            <w:top w:val="single" w:sz="2" w:space="0" w:color="D9D9E3"/>
                            <w:left w:val="single" w:sz="2" w:space="0" w:color="D9D9E3"/>
                            <w:bottom w:val="single" w:sz="2" w:space="0" w:color="D9D9E3"/>
                            <w:right w:val="single" w:sz="2" w:space="0" w:color="D9D9E3"/>
                          </w:divBdr>
                          <w:divsChild>
                            <w:div w:id="13376145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77909836">
      <w:bodyDiv w:val="1"/>
      <w:marLeft w:val="0"/>
      <w:marRight w:val="0"/>
      <w:marTop w:val="0"/>
      <w:marBottom w:val="0"/>
      <w:divBdr>
        <w:top w:val="none" w:sz="0" w:space="0" w:color="auto"/>
        <w:left w:val="none" w:sz="0" w:space="0" w:color="auto"/>
        <w:bottom w:val="none" w:sz="0" w:space="0" w:color="auto"/>
        <w:right w:val="none" w:sz="0" w:space="0" w:color="auto"/>
      </w:divBdr>
      <w:divsChild>
        <w:div w:id="1834565439">
          <w:marLeft w:val="0"/>
          <w:marRight w:val="0"/>
          <w:marTop w:val="0"/>
          <w:marBottom w:val="0"/>
          <w:divBdr>
            <w:top w:val="single" w:sz="2" w:space="0" w:color="auto"/>
            <w:left w:val="single" w:sz="2" w:space="0" w:color="auto"/>
            <w:bottom w:val="single" w:sz="6" w:space="0" w:color="auto"/>
            <w:right w:val="single" w:sz="2" w:space="0" w:color="auto"/>
          </w:divBdr>
          <w:divsChild>
            <w:div w:id="2098673741">
              <w:marLeft w:val="0"/>
              <w:marRight w:val="0"/>
              <w:marTop w:val="100"/>
              <w:marBottom w:val="100"/>
              <w:divBdr>
                <w:top w:val="single" w:sz="2" w:space="0" w:color="D9D9E3"/>
                <w:left w:val="single" w:sz="2" w:space="0" w:color="D9D9E3"/>
                <w:bottom w:val="single" w:sz="2" w:space="0" w:color="D9D9E3"/>
                <w:right w:val="single" w:sz="2" w:space="0" w:color="D9D9E3"/>
              </w:divBdr>
              <w:divsChild>
                <w:div w:id="1685087756">
                  <w:marLeft w:val="0"/>
                  <w:marRight w:val="0"/>
                  <w:marTop w:val="0"/>
                  <w:marBottom w:val="0"/>
                  <w:divBdr>
                    <w:top w:val="single" w:sz="2" w:space="0" w:color="D9D9E3"/>
                    <w:left w:val="single" w:sz="2" w:space="0" w:color="D9D9E3"/>
                    <w:bottom w:val="single" w:sz="2" w:space="0" w:color="D9D9E3"/>
                    <w:right w:val="single" w:sz="2" w:space="0" w:color="D9D9E3"/>
                  </w:divBdr>
                  <w:divsChild>
                    <w:div w:id="2130076892">
                      <w:marLeft w:val="0"/>
                      <w:marRight w:val="0"/>
                      <w:marTop w:val="0"/>
                      <w:marBottom w:val="0"/>
                      <w:divBdr>
                        <w:top w:val="single" w:sz="2" w:space="0" w:color="D9D9E3"/>
                        <w:left w:val="single" w:sz="2" w:space="0" w:color="D9D9E3"/>
                        <w:bottom w:val="single" w:sz="2" w:space="0" w:color="D9D9E3"/>
                        <w:right w:val="single" w:sz="2" w:space="0" w:color="D9D9E3"/>
                      </w:divBdr>
                      <w:divsChild>
                        <w:div w:id="69472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5672662">
          <w:marLeft w:val="0"/>
          <w:marRight w:val="0"/>
          <w:marTop w:val="0"/>
          <w:marBottom w:val="0"/>
          <w:divBdr>
            <w:top w:val="single" w:sz="2" w:space="0" w:color="auto"/>
            <w:left w:val="single" w:sz="2" w:space="0" w:color="auto"/>
            <w:bottom w:val="single" w:sz="6" w:space="0" w:color="auto"/>
            <w:right w:val="single" w:sz="2" w:space="0" w:color="auto"/>
          </w:divBdr>
          <w:divsChild>
            <w:div w:id="2074426597">
              <w:marLeft w:val="0"/>
              <w:marRight w:val="0"/>
              <w:marTop w:val="100"/>
              <w:marBottom w:val="100"/>
              <w:divBdr>
                <w:top w:val="single" w:sz="2" w:space="0" w:color="D9D9E3"/>
                <w:left w:val="single" w:sz="2" w:space="0" w:color="D9D9E3"/>
                <w:bottom w:val="single" w:sz="2" w:space="0" w:color="D9D9E3"/>
                <w:right w:val="single" w:sz="2" w:space="0" w:color="D9D9E3"/>
              </w:divBdr>
              <w:divsChild>
                <w:div w:id="873342932">
                  <w:marLeft w:val="0"/>
                  <w:marRight w:val="0"/>
                  <w:marTop w:val="0"/>
                  <w:marBottom w:val="0"/>
                  <w:divBdr>
                    <w:top w:val="single" w:sz="2" w:space="0" w:color="D9D9E3"/>
                    <w:left w:val="single" w:sz="2" w:space="0" w:color="D9D9E3"/>
                    <w:bottom w:val="single" w:sz="2" w:space="0" w:color="D9D9E3"/>
                    <w:right w:val="single" w:sz="2" w:space="0" w:color="D9D9E3"/>
                  </w:divBdr>
                  <w:divsChild>
                    <w:div w:id="418061909">
                      <w:marLeft w:val="0"/>
                      <w:marRight w:val="0"/>
                      <w:marTop w:val="0"/>
                      <w:marBottom w:val="0"/>
                      <w:divBdr>
                        <w:top w:val="single" w:sz="2" w:space="0" w:color="D9D9E3"/>
                        <w:left w:val="single" w:sz="2" w:space="0" w:color="D9D9E3"/>
                        <w:bottom w:val="single" w:sz="2" w:space="0" w:color="D9D9E3"/>
                        <w:right w:val="single" w:sz="2" w:space="0" w:color="D9D9E3"/>
                      </w:divBdr>
                      <w:divsChild>
                        <w:div w:id="1465848904">
                          <w:marLeft w:val="0"/>
                          <w:marRight w:val="0"/>
                          <w:marTop w:val="0"/>
                          <w:marBottom w:val="0"/>
                          <w:divBdr>
                            <w:top w:val="single" w:sz="2" w:space="0" w:color="D9D9E3"/>
                            <w:left w:val="single" w:sz="2" w:space="0" w:color="D9D9E3"/>
                            <w:bottom w:val="single" w:sz="2" w:space="0" w:color="D9D9E3"/>
                            <w:right w:val="single" w:sz="2" w:space="0" w:color="D9D9E3"/>
                          </w:divBdr>
                          <w:divsChild>
                            <w:div w:id="1638335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88537104">
      <w:bodyDiv w:val="1"/>
      <w:marLeft w:val="0"/>
      <w:marRight w:val="0"/>
      <w:marTop w:val="0"/>
      <w:marBottom w:val="0"/>
      <w:divBdr>
        <w:top w:val="none" w:sz="0" w:space="0" w:color="auto"/>
        <w:left w:val="none" w:sz="0" w:space="0" w:color="auto"/>
        <w:bottom w:val="none" w:sz="0" w:space="0" w:color="auto"/>
        <w:right w:val="none" w:sz="0" w:space="0" w:color="auto"/>
      </w:divBdr>
      <w:divsChild>
        <w:div w:id="20671874">
          <w:marLeft w:val="0"/>
          <w:marRight w:val="0"/>
          <w:marTop w:val="0"/>
          <w:marBottom w:val="0"/>
          <w:divBdr>
            <w:top w:val="single" w:sz="2" w:space="0" w:color="auto"/>
            <w:left w:val="single" w:sz="2" w:space="0" w:color="auto"/>
            <w:bottom w:val="single" w:sz="6" w:space="0" w:color="auto"/>
            <w:right w:val="single" w:sz="2" w:space="0" w:color="auto"/>
          </w:divBdr>
          <w:divsChild>
            <w:div w:id="869341516">
              <w:marLeft w:val="0"/>
              <w:marRight w:val="0"/>
              <w:marTop w:val="100"/>
              <w:marBottom w:val="100"/>
              <w:divBdr>
                <w:top w:val="single" w:sz="2" w:space="0" w:color="D9D9E3"/>
                <w:left w:val="single" w:sz="2" w:space="0" w:color="D9D9E3"/>
                <w:bottom w:val="single" w:sz="2" w:space="0" w:color="D9D9E3"/>
                <w:right w:val="single" w:sz="2" w:space="0" w:color="D9D9E3"/>
              </w:divBdr>
              <w:divsChild>
                <w:div w:id="367997366">
                  <w:marLeft w:val="0"/>
                  <w:marRight w:val="0"/>
                  <w:marTop w:val="0"/>
                  <w:marBottom w:val="0"/>
                  <w:divBdr>
                    <w:top w:val="single" w:sz="2" w:space="0" w:color="D9D9E3"/>
                    <w:left w:val="single" w:sz="2" w:space="0" w:color="D9D9E3"/>
                    <w:bottom w:val="single" w:sz="2" w:space="0" w:color="D9D9E3"/>
                    <w:right w:val="single" w:sz="2" w:space="0" w:color="D9D9E3"/>
                  </w:divBdr>
                  <w:divsChild>
                    <w:div w:id="1625579183">
                      <w:marLeft w:val="0"/>
                      <w:marRight w:val="0"/>
                      <w:marTop w:val="0"/>
                      <w:marBottom w:val="0"/>
                      <w:divBdr>
                        <w:top w:val="single" w:sz="2" w:space="0" w:color="D9D9E3"/>
                        <w:left w:val="single" w:sz="2" w:space="0" w:color="D9D9E3"/>
                        <w:bottom w:val="single" w:sz="2" w:space="0" w:color="D9D9E3"/>
                        <w:right w:val="single" w:sz="2" w:space="0" w:color="D9D9E3"/>
                      </w:divBdr>
                      <w:divsChild>
                        <w:div w:id="1739747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73357904">
          <w:marLeft w:val="0"/>
          <w:marRight w:val="0"/>
          <w:marTop w:val="0"/>
          <w:marBottom w:val="0"/>
          <w:divBdr>
            <w:top w:val="single" w:sz="2" w:space="0" w:color="auto"/>
            <w:left w:val="single" w:sz="2" w:space="0" w:color="auto"/>
            <w:bottom w:val="single" w:sz="6" w:space="0" w:color="auto"/>
            <w:right w:val="single" w:sz="2" w:space="0" w:color="auto"/>
          </w:divBdr>
          <w:divsChild>
            <w:div w:id="744492191">
              <w:marLeft w:val="0"/>
              <w:marRight w:val="0"/>
              <w:marTop w:val="100"/>
              <w:marBottom w:val="100"/>
              <w:divBdr>
                <w:top w:val="single" w:sz="2" w:space="0" w:color="D9D9E3"/>
                <w:left w:val="single" w:sz="2" w:space="0" w:color="D9D9E3"/>
                <w:bottom w:val="single" w:sz="2" w:space="0" w:color="D9D9E3"/>
                <w:right w:val="single" w:sz="2" w:space="0" w:color="D9D9E3"/>
              </w:divBdr>
              <w:divsChild>
                <w:div w:id="424426461">
                  <w:marLeft w:val="0"/>
                  <w:marRight w:val="0"/>
                  <w:marTop w:val="0"/>
                  <w:marBottom w:val="0"/>
                  <w:divBdr>
                    <w:top w:val="single" w:sz="2" w:space="0" w:color="D9D9E3"/>
                    <w:left w:val="single" w:sz="2" w:space="0" w:color="D9D9E3"/>
                    <w:bottom w:val="single" w:sz="2" w:space="0" w:color="D9D9E3"/>
                    <w:right w:val="single" w:sz="2" w:space="0" w:color="D9D9E3"/>
                  </w:divBdr>
                  <w:divsChild>
                    <w:div w:id="1938128889">
                      <w:marLeft w:val="0"/>
                      <w:marRight w:val="0"/>
                      <w:marTop w:val="0"/>
                      <w:marBottom w:val="0"/>
                      <w:divBdr>
                        <w:top w:val="single" w:sz="2" w:space="0" w:color="D9D9E3"/>
                        <w:left w:val="single" w:sz="2" w:space="0" w:color="D9D9E3"/>
                        <w:bottom w:val="single" w:sz="2" w:space="0" w:color="D9D9E3"/>
                        <w:right w:val="single" w:sz="2" w:space="0" w:color="D9D9E3"/>
                      </w:divBdr>
                      <w:divsChild>
                        <w:div w:id="2017002359">
                          <w:marLeft w:val="0"/>
                          <w:marRight w:val="0"/>
                          <w:marTop w:val="0"/>
                          <w:marBottom w:val="0"/>
                          <w:divBdr>
                            <w:top w:val="single" w:sz="2" w:space="0" w:color="D9D9E3"/>
                            <w:left w:val="single" w:sz="2" w:space="0" w:color="D9D9E3"/>
                            <w:bottom w:val="single" w:sz="2" w:space="0" w:color="D9D9E3"/>
                            <w:right w:val="single" w:sz="2" w:space="0" w:color="D9D9E3"/>
                          </w:divBdr>
                          <w:divsChild>
                            <w:div w:id="2110079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07195843">
      <w:bodyDiv w:val="1"/>
      <w:marLeft w:val="0"/>
      <w:marRight w:val="0"/>
      <w:marTop w:val="0"/>
      <w:marBottom w:val="0"/>
      <w:divBdr>
        <w:top w:val="none" w:sz="0" w:space="0" w:color="auto"/>
        <w:left w:val="none" w:sz="0" w:space="0" w:color="auto"/>
        <w:bottom w:val="none" w:sz="0" w:space="0" w:color="auto"/>
        <w:right w:val="none" w:sz="0" w:space="0" w:color="auto"/>
      </w:divBdr>
      <w:divsChild>
        <w:div w:id="955597302">
          <w:marLeft w:val="0"/>
          <w:marRight w:val="0"/>
          <w:marTop w:val="0"/>
          <w:marBottom w:val="0"/>
          <w:divBdr>
            <w:top w:val="single" w:sz="2" w:space="0" w:color="auto"/>
            <w:left w:val="single" w:sz="2" w:space="0" w:color="auto"/>
            <w:bottom w:val="single" w:sz="6" w:space="0" w:color="auto"/>
            <w:right w:val="single" w:sz="2" w:space="0" w:color="auto"/>
          </w:divBdr>
          <w:divsChild>
            <w:div w:id="1807239511">
              <w:marLeft w:val="0"/>
              <w:marRight w:val="0"/>
              <w:marTop w:val="100"/>
              <w:marBottom w:val="100"/>
              <w:divBdr>
                <w:top w:val="single" w:sz="2" w:space="0" w:color="D9D9E3"/>
                <w:left w:val="single" w:sz="2" w:space="0" w:color="D9D9E3"/>
                <w:bottom w:val="single" w:sz="2" w:space="0" w:color="D9D9E3"/>
                <w:right w:val="single" w:sz="2" w:space="0" w:color="D9D9E3"/>
              </w:divBdr>
              <w:divsChild>
                <w:div w:id="417095186">
                  <w:marLeft w:val="0"/>
                  <w:marRight w:val="0"/>
                  <w:marTop w:val="0"/>
                  <w:marBottom w:val="0"/>
                  <w:divBdr>
                    <w:top w:val="single" w:sz="2" w:space="0" w:color="D9D9E3"/>
                    <w:left w:val="single" w:sz="2" w:space="0" w:color="D9D9E3"/>
                    <w:bottom w:val="single" w:sz="2" w:space="0" w:color="D9D9E3"/>
                    <w:right w:val="single" w:sz="2" w:space="0" w:color="D9D9E3"/>
                  </w:divBdr>
                  <w:divsChild>
                    <w:div w:id="1201242058">
                      <w:marLeft w:val="0"/>
                      <w:marRight w:val="0"/>
                      <w:marTop w:val="0"/>
                      <w:marBottom w:val="0"/>
                      <w:divBdr>
                        <w:top w:val="single" w:sz="2" w:space="0" w:color="D9D9E3"/>
                        <w:left w:val="single" w:sz="2" w:space="0" w:color="D9D9E3"/>
                        <w:bottom w:val="single" w:sz="2" w:space="0" w:color="D9D9E3"/>
                        <w:right w:val="single" w:sz="2" w:space="0" w:color="D9D9E3"/>
                      </w:divBdr>
                      <w:divsChild>
                        <w:div w:id="1481993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32737837">
          <w:marLeft w:val="0"/>
          <w:marRight w:val="0"/>
          <w:marTop w:val="0"/>
          <w:marBottom w:val="0"/>
          <w:divBdr>
            <w:top w:val="single" w:sz="2" w:space="0" w:color="auto"/>
            <w:left w:val="single" w:sz="2" w:space="0" w:color="auto"/>
            <w:bottom w:val="single" w:sz="6" w:space="0" w:color="auto"/>
            <w:right w:val="single" w:sz="2" w:space="0" w:color="auto"/>
          </w:divBdr>
          <w:divsChild>
            <w:div w:id="233977034">
              <w:marLeft w:val="0"/>
              <w:marRight w:val="0"/>
              <w:marTop w:val="100"/>
              <w:marBottom w:val="100"/>
              <w:divBdr>
                <w:top w:val="single" w:sz="2" w:space="0" w:color="D9D9E3"/>
                <w:left w:val="single" w:sz="2" w:space="0" w:color="D9D9E3"/>
                <w:bottom w:val="single" w:sz="2" w:space="0" w:color="D9D9E3"/>
                <w:right w:val="single" w:sz="2" w:space="0" w:color="D9D9E3"/>
              </w:divBdr>
              <w:divsChild>
                <w:div w:id="1563131206">
                  <w:marLeft w:val="0"/>
                  <w:marRight w:val="0"/>
                  <w:marTop w:val="0"/>
                  <w:marBottom w:val="0"/>
                  <w:divBdr>
                    <w:top w:val="single" w:sz="2" w:space="0" w:color="D9D9E3"/>
                    <w:left w:val="single" w:sz="2" w:space="0" w:color="D9D9E3"/>
                    <w:bottom w:val="single" w:sz="2" w:space="0" w:color="D9D9E3"/>
                    <w:right w:val="single" w:sz="2" w:space="0" w:color="D9D9E3"/>
                  </w:divBdr>
                  <w:divsChild>
                    <w:div w:id="204341741">
                      <w:marLeft w:val="0"/>
                      <w:marRight w:val="0"/>
                      <w:marTop w:val="0"/>
                      <w:marBottom w:val="0"/>
                      <w:divBdr>
                        <w:top w:val="single" w:sz="2" w:space="0" w:color="D9D9E3"/>
                        <w:left w:val="single" w:sz="2" w:space="0" w:color="D9D9E3"/>
                        <w:bottom w:val="single" w:sz="2" w:space="0" w:color="D9D9E3"/>
                        <w:right w:val="single" w:sz="2" w:space="0" w:color="D9D9E3"/>
                      </w:divBdr>
                      <w:divsChild>
                        <w:div w:id="1293830840">
                          <w:marLeft w:val="0"/>
                          <w:marRight w:val="0"/>
                          <w:marTop w:val="0"/>
                          <w:marBottom w:val="0"/>
                          <w:divBdr>
                            <w:top w:val="single" w:sz="2" w:space="0" w:color="D9D9E3"/>
                            <w:left w:val="single" w:sz="2" w:space="0" w:color="D9D9E3"/>
                            <w:bottom w:val="single" w:sz="2" w:space="0" w:color="D9D9E3"/>
                            <w:right w:val="single" w:sz="2" w:space="0" w:color="D9D9E3"/>
                          </w:divBdr>
                          <w:divsChild>
                            <w:div w:id="2120710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5989177">
      <w:bodyDiv w:val="1"/>
      <w:marLeft w:val="0"/>
      <w:marRight w:val="0"/>
      <w:marTop w:val="0"/>
      <w:marBottom w:val="0"/>
      <w:divBdr>
        <w:top w:val="none" w:sz="0" w:space="0" w:color="auto"/>
        <w:left w:val="none" w:sz="0" w:space="0" w:color="auto"/>
        <w:bottom w:val="none" w:sz="0" w:space="0" w:color="auto"/>
        <w:right w:val="none" w:sz="0" w:space="0" w:color="auto"/>
      </w:divBdr>
      <w:divsChild>
        <w:div w:id="898441639">
          <w:marLeft w:val="0"/>
          <w:marRight w:val="0"/>
          <w:marTop w:val="0"/>
          <w:marBottom w:val="225"/>
          <w:divBdr>
            <w:top w:val="none" w:sz="0" w:space="0" w:color="auto"/>
            <w:left w:val="none" w:sz="0" w:space="0" w:color="auto"/>
            <w:bottom w:val="single" w:sz="6" w:space="11" w:color="B4D012"/>
            <w:right w:val="none" w:sz="0" w:space="0" w:color="auto"/>
          </w:divBdr>
          <w:divsChild>
            <w:div w:id="725421809">
              <w:marLeft w:val="240"/>
              <w:marRight w:val="0"/>
              <w:marTop w:val="0"/>
              <w:marBottom w:val="0"/>
              <w:divBdr>
                <w:top w:val="none" w:sz="0" w:space="0" w:color="auto"/>
                <w:left w:val="none" w:sz="0" w:space="0" w:color="auto"/>
                <w:bottom w:val="none" w:sz="0" w:space="0" w:color="auto"/>
                <w:right w:val="none" w:sz="0" w:space="0" w:color="auto"/>
              </w:divBdr>
              <w:divsChild>
                <w:div w:id="1924298651">
                  <w:marLeft w:val="0"/>
                  <w:marRight w:val="0"/>
                  <w:marTop w:val="0"/>
                  <w:marBottom w:val="0"/>
                  <w:divBdr>
                    <w:top w:val="none" w:sz="0" w:space="0" w:color="auto"/>
                    <w:left w:val="none" w:sz="0" w:space="0" w:color="auto"/>
                    <w:bottom w:val="none" w:sz="0" w:space="0" w:color="auto"/>
                    <w:right w:val="none" w:sz="0" w:space="0" w:color="auto"/>
                  </w:divBdr>
                  <w:divsChild>
                    <w:div w:id="4938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6841">
          <w:marLeft w:val="0"/>
          <w:marRight w:val="0"/>
          <w:marTop w:val="0"/>
          <w:marBottom w:val="225"/>
          <w:divBdr>
            <w:top w:val="none" w:sz="0" w:space="0" w:color="auto"/>
            <w:left w:val="none" w:sz="0" w:space="0" w:color="auto"/>
            <w:bottom w:val="single" w:sz="6" w:space="11" w:color="B4D012"/>
            <w:right w:val="none" w:sz="0" w:space="0" w:color="auto"/>
          </w:divBdr>
          <w:divsChild>
            <w:div w:id="1312784086">
              <w:marLeft w:val="240"/>
              <w:marRight w:val="0"/>
              <w:marTop w:val="0"/>
              <w:marBottom w:val="0"/>
              <w:divBdr>
                <w:top w:val="none" w:sz="0" w:space="0" w:color="auto"/>
                <w:left w:val="none" w:sz="0" w:space="0" w:color="auto"/>
                <w:bottom w:val="none" w:sz="0" w:space="0" w:color="auto"/>
                <w:right w:val="none" w:sz="0" w:space="0" w:color="auto"/>
              </w:divBdr>
              <w:divsChild>
                <w:div w:id="1892575702">
                  <w:marLeft w:val="0"/>
                  <w:marRight w:val="0"/>
                  <w:marTop w:val="0"/>
                  <w:marBottom w:val="0"/>
                  <w:divBdr>
                    <w:top w:val="none" w:sz="0" w:space="0" w:color="auto"/>
                    <w:left w:val="none" w:sz="0" w:space="0" w:color="auto"/>
                    <w:bottom w:val="none" w:sz="0" w:space="0" w:color="auto"/>
                    <w:right w:val="none" w:sz="0" w:space="0" w:color="auto"/>
                  </w:divBdr>
                  <w:divsChild>
                    <w:div w:id="1351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2806">
          <w:marLeft w:val="0"/>
          <w:marRight w:val="0"/>
          <w:marTop w:val="0"/>
          <w:marBottom w:val="225"/>
          <w:divBdr>
            <w:top w:val="none" w:sz="0" w:space="0" w:color="auto"/>
            <w:left w:val="none" w:sz="0" w:space="0" w:color="auto"/>
            <w:bottom w:val="single" w:sz="6" w:space="11" w:color="B4D012"/>
            <w:right w:val="none" w:sz="0" w:space="0" w:color="auto"/>
          </w:divBdr>
          <w:divsChild>
            <w:div w:id="1806388138">
              <w:marLeft w:val="240"/>
              <w:marRight w:val="0"/>
              <w:marTop w:val="0"/>
              <w:marBottom w:val="0"/>
              <w:divBdr>
                <w:top w:val="none" w:sz="0" w:space="0" w:color="auto"/>
                <w:left w:val="none" w:sz="0" w:space="0" w:color="auto"/>
                <w:bottom w:val="none" w:sz="0" w:space="0" w:color="auto"/>
                <w:right w:val="none" w:sz="0" w:space="0" w:color="auto"/>
              </w:divBdr>
              <w:divsChild>
                <w:div w:id="783773837">
                  <w:marLeft w:val="0"/>
                  <w:marRight w:val="0"/>
                  <w:marTop w:val="0"/>
                  <w:marBottom w:val="0"/>
                  <w:divBdr>
                    <w:top w:val="none" w:sz="0" w:space="0" w:color="auto"/>
                    <w:left w:val="none" w:sz="0" w:space="0" w:color="auto"/>
                    <w:bottom w:val="none" w:sz="0" w:space="0" w:color="auto"/>
                    <w:right w:val="none" w:sz="0" w:space="0" w:color="auto"/>
                  </w:divBdr>
                  <w:divsChild>
                    <w:div w:id="16851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17668">
          <w:marLeft w:val="0"/>
          <w:marRight w:val="0"/>
          <w:marTop w:val="0"/>
          <w:marBottom w:val="225"/>
          <w:divBdr>
            <w:top w:val="none" w:sz="0" w:space="0" w:color="auto"/>
            <w:left w:val="none" w:sz="0" w:space="0" w:color="auto"/>
            <w:bottom w:val="single" w:sz="6" w:space="11" w:color="B4D012"/>
            <w:right w:val="none" w:sz="0" w:space="0" w:color="auto"/>
          </w:divBdr>
          <w:divsChild>
            <w:div w:id="1287586814">
              <w:marLeft w:val="240"/>
              <w:marRight w:val="0"/>
              <w:marTop w:val="0"/>
              <w:marBottom w:val="0"/>
              <w:divBdr>
                <w:top w:val="none" w:sz="0" w:space="0" w:color="auto"/>
                <w:left w:val="none" w:sz="0" w:space="0" w:color="auto"/>
                <w:bottom w:val="none" w:sz="0" w:space="0" w:color="auto"/>
                <w:right w:val="none" w:sz="0" w:space="0" w:color="auto"/>
              </w:divBdr>
              <w:divsChild>
                <w:div w:id="1615600117">
                  <w:marLeft w:val="0"/>
                  <w:marRight w:val="0"/>
                  <w:marTop w:val="0"/>
                  <w:marBottom w:val="0"/>
                  <w:divBdr>
                    <w:top w:val="none" w:sz="0" w:space="0" w:color="auto"/>
                    <w:left w:val="none" w:sz="0" w:space="0" w:color="auto"/>
                    <w:bottom w:val="none" w:sz="0" w:space="0" w:color="auto"/>
                    <w:right w:val="none" w:sz="0" w:space="0" w:color="auto"/>
                  </w:divBdr>
                  <w:divsChild>
                    <w:div w:id="4997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11458">
          <w:marLeft w:val="0"/>
          <w:marRight w:val="0"/>
          <w:marTop w:val="0"/>
          <w:marBottom w:val="225"/>
          <w:divBdr>
            <w:top w:val="none" w:sz="0" w:space="0" w:color="auto"/>
            <w:left w:val="none" w:sz="0" w:space="0" w:color="auto"/>
            <w:bottom w:val="single" w:sz="6" w:space="11" w:color="B4D012"/>
            <w:right w:val="none" w:sz="0" w:space="0" w:color="auto"/>
          </w:divBdr>
          <w:divsChild>
            <w:div w:id="32972124">
              <w:marLeft w:val="240"/>
              <w:marRight w:val="0"/>
              <w:marTop w:val="0"/>
              <w:marBottom w:val="0"/>
              <w:divBdr>
                <w:top w:val="none" w:sz="0" w:space="0" w:color="auto"/>
                <w:left w:val="none" w:sz="0" w:space="0" w:color="auto"/>
                <w:bottom w:val="none" w:sz="0" w:space="0" w:color="auto"/>
                <w:right w:val="none" w:sz="0" w:space="0" w:color="auto"/>
              </w:divBdr>
              <w:divsChild>
                <w:div w:id="491526633">
                  <w:marLeft w:val="0"/>
                  <w:marRight w:val="0"/>
                  <w:marTop w:val="0"/>
                  <w:marBottom w:val="0"/>
                  <w:divBdr>
                    <w:top w:val="none" w:sz="0" w:space="0" w:color="auto"/>
                    <w:left w:val="none" w:sz="0" w:space="0" w:color="auto"/>
                    <w:bottom w:val="none" w:sz="0" w:space="0" w:color="auto"/>
                    <w:right w:val="none" w:sz="0" w:space="0" w:color="auto"/>
                  </w:divBdr>
                  <w:divsChild>
                    <w:div w:id="2487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63603">
      <w:bodyDiv w:val="1"/>
      <w:marLeft w:val="0"/>
      <w:marRight w:val="0"/>
      <w:marTop w:val="0"/>
      <w:marBottom w:val="0"/>
      <w:divBdr>
        <w:top w:val="none" w:sz="0" w:space="0" w:color="auto"/>
        <w:left w:val="none" w:sz="0" w:space="0" w:color="auto"/>
        <w:bottom w:val="none" w:sz="0" w:space="0" w:color="auto"/>
        <w:right w:val="none" w:sz="0" w:space="0" w:color="auto"/>
      </w:divBdr>
      <w:divsChild>
        <w:div w:id="223302259">
          <w:marLeft w:val="0"/>
          <w:marRight w:val="0"/>
          <w:marTop w:val="0"/>
          <w:marBottom w:val="0"/>
          <w:divBdr>
            <w:top w:val="none" w:sz="0" w:space="0" w:color="auto"/>
            <w:left w:val="none" w:sz="0" w:space="0" w:color="auto"/>
            <w:bottom w:val="none" w:sz="0" w:space="0" w:color="auto"/>
            <w:right w:val="none" w:sz="0" w:space="0" w:color="auto"/>
          </w:divBdr>
        </w:div>
        <w:div w:id="791679899">
          <w:marLeft w:val="0"/>
          <w:marRight w:val="0"/>
          <w:marTop w:val="0"/>
          <w:marBottom w:val="0"/>
          <w:divBdr>
            <w:top w:val="none" w:sz="0" w:space="0" w:color="auto"/>
            <w:left w:val="none" w:sz="0" w:space="0" w:color="auto"/>
            <w:bottom w:val="none" w:sz="0" w:space="0" w:color="auto"/>
            <w:right w:val="none" w:sz="0" w:space="0" w:color="auto"/>
          </w:divBdr>
          <w:divsChild>
            <w:div w:id="279607089">
              <w:marLeft w:val="0"/>
              <w:marRight w:val="0"/>
              <w:marTop w:val="0"/>
              <w:marBottom w:val="0"/>
              <w:divBdr>
                <w:top w:val="none" w:sz="0" w:space="0" w:color="auto"/>
                <w:left w:val="none" w:sz="0" w:space="0" w:color="auto"/>
                <w:bottom w:val="none" w:sz="0" w:space="0" w:color="auto"/>
                <w:right w:val="none" w:sz="0" w:space="0" w:color="auto"/>
              </w:divBdr>
              <w:divsChild>
                <w:div w:id="1254359614">
                  <w:marLeft w:val="0"/>
                  <w:marRight w:val="0"/>
                  <w:marTop w:val="0"/>
                  <w:marBottom w:val="0"/>
                  <w:divBdr>
                    <w:top w:val="none" w:sz="0" w:space="0" w:color="auto"/>
                    <w:left w:val="none" w:sz="0" w:space="0" w:color="auto"/>
                    <w:bottom w:val="none" w:sz="0" w:space="0" w:color="auto"/>
                    <w:right w:val="none" w:sz="0" w:space="0" w:color="auto"/>
                  </w:divBdr>
                  <w:divsChild>
                    <w:div w:id="701054962">
                      <w:marLeft w:val="0"/>
                      <w:marRight w:val="0"/>
                      <w:marTop w:val="0"/>
                      <w:marBottom w:val="0"/>
                      <w:divBdr>
                        <w:top w:val="none" w:sz="0" w:space="0" w:color="auto"/>
                        <w:left w:val="none" w:sz="0" w:space="0" w:color="auto"/>
                        <w:bottom w:val="none" w:sz="0" w:space="0" w:color="auto"/>
                        <w:right w:val="none" w:sz="0" w:space="0" w:color="auto"/>
                      </w:divBdr>
                      <w:divsChild>
                        <w:div w:id="679702557">
                          <w:marLeft w:val="0"/>
                          <w:marRight w:val="0"/>
                          <w:marTop w:val="0"/>
                          <w:marBottom w:val="0"/>
                          <w:divBdr>
                            <w:top w:val="none" w:sz="0" w:space="0" w:color="auto"/>
                            <w:left w:val="none" w:sz="0" w:space="0" w:color="auto"/>
                            <w:bottom w:val="none" w:sz="0" w:space="0" w:color="auto"/>
                            <w:right w:val="none" w:sz="0" w:space="0" w:color="auto"/>
                          </w:divBdr>
                          <w:divsChild>
                            <w:div w:id="18845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55308">
      <w:bodyDiv w:val="1"/>
      <w:marLeft w:val="0"/>
      <w:marRight w:val="0"/>
      <w:marTop w:val="0"/>
      <w:marBottom w:val="0"/>
      <w:divBdr>
        <w:top w:val="none" w:sz="0" w:space="0" w:color="auto"/>
        <w:left w:val="none" w:sz="0" w:space="0" w:color="auto"/>
        <w:bottom w:val="none" w:sz="0" w:space="0" w:color="auto"/>
        <w:right w:val="none" w:sz="0" w:space="0" w:color="auto"/>
      </w:divBdr>
      <w:divsChild>
        <w:div w:id="123736057">
          <w:marLeft w:val="0"/>
          <w:marRight w:val="0"/>
          <w:marTop w:val="0"/>
          <w:marBottom w:val="0"/>
          <w:divBdr>
            <w:top w:val="single" w:sz="2" w:space="0" w:color="auto"/>
            <w:left w:val="single" w:sz="2" w:space="0" w:color="auto"/>
            <w:bottom w:val="single" w:sz="6" w:space="0" w:color="auto"/>
            <w:right w:val="single" w:sz="2" w:space="0" w:color="auto"/>
          </w:divBdr>
          <w:divsChild>
            <w:div w:id="687217489">
              <w:marLeft w:val="0"/>
              <w:marRight w:val="0"/>
              <w:marTop w:val="100"/>
              <w:marBottom w:val="100"/>
              <w:divBdr>
                <w:top w:val="single" w:sz="2" w:space="0" w:color="D9D9E3"/>
                <w:left w:val="single" w:sz="2" w:space="0" w:color="D9D9E3"/>
                <w:bottom w:val="single" w:sz="2" w:space="0" w:color="D9D9E3"/>
                <w:right w:val="single" w:sz="2" w:space="0" w:color="D9D9E3"/>
              </w:divBdr>
              <w:divsChild>
                <w:div w:id="342099085">
                  <w:marLeft w:val="0"/>
                  <w:marRight w:val="0"/>
                  <w:marTop w:val="0"/>
                  <w:marBottom w:val="0"/>
                  <w:divBdr>
                    <w:top w:val="single" w:sz="2" w:space="0" w:color="D9D9E3"/>
                    <w:left w:val="single" w:sz="2" w:space="0" w:color="D9D9E3"/>
                    <w:bottom w:val="single" w:sz="2" w:space="0" w:color="D9D9E3"/>
                    <w:right w:val="single" w:sz="2" w:space="0" w:color="D9D9E3"/>
                  </w:divBdr>
                  <w:divsChild>
                    <w:div w:id="1707289503">
                      <w:marLeft w:val="0"/>
                      <w:marRight w:val="0"/>
                      <w:marTop w:val="0"/>
                      <w:marBottom w:val="0"/>
                      <w:divBdr>
                        <w:top w:val="single" w:sz="2" w:space="0" w:color="D9D9E3"/>
                        <w:left w:val="single" w:sz="2" w:space="0" w:color="D9D9E3"/>
                        <w:bottom w:val="single" w:sz="2" w:space="0" w:color="D9D9E3"/>
                        <w:right w:val="single" w:sz="2" w:space="0" w:color="D9D9E3"/>
                      </w:divBdr>
                      <w:divsChild>
                        <w:div w:id="568268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43804111">
          <w:marLeft w:val="0"/>
          <w:marRight w:val="0"/>
          <w:marTop w:val="0"/>
          <w:marBottom w:val="0"/>
          <w:divBdr>
            <w:top w:val="single" w:sz="2" w:space="0" w:color="auto"/>
            <w:left w:val="single" w:sz="2" w:space="0" w:color="auto"/>
            <w:bottom w:val="single" w:sz="6" w:space="0" w:color="auto"/>
            <w:right w:val="single" w:sz="2" w:space="0" w:color="auto"/>
          </w:divBdr>
          <w:divsChild>
            <w:div w:id="1933926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864979028">
                  <w:marLeft w:val="0"/>
                  <w:marRight w:val="0"/>
                  <w:marTop w:val="0"/>
                  <w:marBottom w:val="0"/>
                  <w:divBdr>
                    <w:top w:val="single" w:sz="2" w:space="0" w:color="D9D9E3"/>
                    <w:left w:val="single" w:sz="2" w:space="0" w:color="D9D9E3"/>
                    <w:bottom w:val="single" w:sz="2" w:space="0" w:color="D9D9E3"/>
                    <w:right w:val="single" w:sz="2" w:space="0" w:color="D9D9E3"/>
                  </w:divBdr>
                  <w:divsChild>
                    <w:div w:id="1678314580">
                      <w:marLeft w:val="0"/>
                      <w:marRight w:val="0"/>
                      <w:marTop w:val="0"/>
                      <w:marBottom w:val="0"/>
                      <w:divBdr>
                        <w:top w:val="single" w:sz="2" w:space="0" w:color="D9D9E3"/>
                        <w:left w:val="single" w:sz="2" w:space="0" w:color="D9D9E3"/>
                        <w:bottom w:val="single" w:sz="2" w:space="0" w:color="D9D9E3"/>
                        <w:right w:val="single" w:sz="2" w:space="0" w:color="D9D9E3"/>
                      </w:divBdr>
                      <w:divsChild>
                        <w:div w:id="671178438">
                          <w:marLeft w:val="0"/>
                          <w:marRight w:val="0"/>
                          <w:marTop w:val="0"/>
                          <w:marBottom w:val="0"/>
                          <w:divBdr>
                            <w:top w:val="single" w:sz="2" w:space="0" w:color="D9D9E3"/>
                            <w:left w:val="single" w:sz="2" w:space="0" w:color="D9D9E3"/>
                            <w:bottom w:val="single" w:sz="2" w:space="0" w:color="D9D9E3"/>
                            <w:right w:val="single" w:sz="2" w:space="0" w:color="D9D9E3"/>
                          </w:divBdr>
                          <w:divsChild>
                            <w:div w:id="12158512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7786911">
      <w:bodyDiv w:val="1"/>
      <w:marLeft w:val="0"/>
      <w:marRight w:val="0"/>
      <w:marTop w:val="0"/>
      <w:marBottom w:val="0"/>
      <w:divBdr>
        <w:top w:val="none" w:sz="0" w:space="0" w:color="auto"/>
        <w:left w:val="none" w:sz="0" w:space="0" w:color="auto"/>
        <w:bottom w:val="none" w:sz="0" w:space="0" w:color="auto"/>
        <w:right w:val="none" w:sz="0" w:space="0" w:color="auto"/>
      </w:divBdr>
    </w:div>
    <w:div w:id="872771063">
      <w:bodyDiv w:val="1"/>
      <w:marLeft w:val="0"/>
      <w:marRight w:val="0"/>
      <w:marTop w:val="0"/>
      <w:marBottom w:val="0"/>
      <w:divBdr>
        <w:top w:val="none" w:sz="0" w:space="0" w:color="auto"/>
        <w:left w:val="none" w:sz="0" w:space="0" w:color="auto"/>
        <w:bottom w:val="none" w:sz="0" w:space="0" w:color="auto"/>
        <w:right w:val="none" w:sz="0" w:space="0" w:color="auto"/>
      </w:divBdr>
      <w:divsChild>
        <w:div w:id="909389561">
          <w:marLeft w:val="0"/>
          <w:marRight w:val="0"/>
          <w:marTop w:val="0"/>
          <w:marBottom w:val="0"/>
          <w:divBdr>
            <w:top w:val="single" w:sz="2" w:space="0" w:color="auto"/>
            <w:left w:val="single" w:sz="2" w:space="0" w:color="auto"/>
            <w:bottom w:val="single" w:sz="6" w:space="0" w:color="auto"/>
            <w:right w:val="single" w:sz="2" w:space="0" w:color="auto"/>
          </w:divBdr>
          <w:divsChild>
            <w:div w:id="1385450045">
              <w:marLeft w:val="0"/>
              <w:marRight w:val="0"/>
              <w:marTop w:val="100"/>
              <w:marBottom w:val="100"/>
              <w:divBdr>
                <w:top w:val="single" w:sz="2" w:space="0" w:color="D9D9E3"/>
                <w:left w:val="single" w:sz="2" w:space="0" w:color="D9D9E3"/>
                <w:bottom w:val="single" w:sz="2" w:space="0" w:color="D9D9E3"/>
                <w:right w:val="single" w:sz="2" w:space="0" w:color="D9D9E3"/>
              </w:divBdr>
              <w:divsChild>
                <w:div w:id="523518849">
                  <w:marLeft w:val="0"/>
                  <w:marRight w:val="0"/>
                  <w:marTop w:val="0"/>
                  <w:marBottom w:val="0"/>
                  <w:divBdr>
                    <w:top w:val="single" w:sz="2" w:space="0" w:color="D9D9E3"/>
                    <w:left w:val="single" w:sz="2" w:space="0" w:color="D9D9E3"/>
                    <w:bottom w:val="single" w:sz="2" w:space="0" w:color="D9D9E3"/>
                    <w:right w:val="single" w:sz="2" w:space="0" w:color="D9D9E3"/>
                  </w:divBdr>
                  <w:divsChild>
                    <w:div w:id="1911311776">
                      <w:marLeft w:val="0"/>
                      <w:marRight w:val="0"/>
                      <w:marTop w:val="0"/>
                      <w:marBottom w:val="0"/>
                      <w:divBdr>
                        <w:top w:val="single" w:sz="2" w:space="0" w:color="D9D9E3"/>
                        <w:left w:val="single" w:sz="2" w:space="0" w:color="D9D9E3"/>
                        <w:bottom w:val="single" w:sz="2" w:space="0" w:color="D9D9E3"/>
                        <w:right w:val="single" w:sz="2" w:space="0" w:color="D9D9E3"/>
                      </w:divBdr>
                      <w:divsChild>
                        <w:div w:id="28529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97355810">
          <w:marLeft w:val="0"/>
          <w:marRight w:val="0"/>
          <w:marTop w:val="0"/>
          <w:marBottom w:val="0"/>
          <w:divBdr>
            <w:top w:val="single" w:sz="2" w:space="0" w:color="auto"/>
            <w:left w:val="single" w:sz="2" w:space="0" w:color="auto"/>
            <w:bottom w:val="single" w:sz="6" w:space="0" w:color="auto"/>
            <w:right w:val="single" w:sz="2" w:space="0" w:color="auto"/>
          </w:divBdr>
          <w:divsChild>
            <w:div w:id="644967533">
              <w:marLeft w:val="0"/>
              <w:marRight w:val="0"/>
              <w:marTop w:val="100"/>
              <w:marBottom w:val="100"/>
              <w:divBdr>
                <w:top w:val="single" w:sz="2" w:space="0" w:color="D9D9E3"/>
                <w:left w:val="single" w:sz="2" w:space="0" w:color="D9D9E3"/>
                <w:bottom w:val="single" w:sz="2" w:space="0" w:color="D9D9E3"/>
                <w:right w:val="single" w:sz="2" w:space="0" w:color="D9D9E3"/>
              </w:divBdr>
              <w:divsChild>
                <w:div w:id="237449234">
                  <w:marLeft w:val="0"/>
                  <w:marRight w:val="0"/>
                  <w:marTop w:val="0"/>
                  <w:marBottom w:val="0"/>
                  <w:divBdr>
                    <w:top w:val="single" w:sz="2" w:space="0" w:color="D9D9E3"/>
                    <w:left w:val="single" w:sz="2" w:space="0" w:color="D9D9E3"/>
                    <w:bottom w:val="single" w:sz="2" w:space="0" w:color="D9D9E3"/>
                    <w:right w:val="single" w:sz="2" w:space="0" w:color="D9D9E3"/>
                  </w:divBdr>
                  <w:divsChild>
                    <w:div w:id="1814639196">
                      <w:marLeft w:val="0"/>
                      <w:marRight w:val="0"/>
                      <w:marTop w:val="0"/>
                      <w:marBottom w:val="0"/>
                      <w:divBdr>
                        <w:top w:val="single" w:sz="2" w:space="0" w:color="D9D9E3"/>
                        <w:left w:val="single" w:sz="2" w:space="0" w:color="D9D9E3"/>
                        <w:bottom w:val="single" w:sz="2" w:space="0" w:color="D9D9E3"/>
                        <w:right w:val="single" w:sz="2" w:space="0" w:color="D9D9E3"/>
                      </w:divBdr>
                      <w:divsChild>
                        <w:div w:id="869419646">
                          <w:marLeft w:val="0"/>
                          <w:marRight w:val="0"/>
                          <w:marTop w:val="0"/>
                          <w:marBottom w:val="0"/>
                          <w:divBdr>
                            <w:top w:val="single" w:sz="2" w:space="0" w:color="D9D9E3"/>
                            <w:left w:val="single" w:sz="2" w:space="0" w:color="D9D9E3"/>
                            <w:bottom w:val="single" w:sz="2" w:space="0" w:color="D9D9E3"/>
                            <w:right w:val="single" w:sz="2" w:space="0" w:color="D9D9E3"/>
                          </w:divBdr>
                          <w:divsChild>
                            <w:div w:id="948972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2668109">
      <w:bodyDiv w:val="1"/>
      <w:marLeft w:val="0"/>
      <w:marRight w:val="0"/>
      <w:marTop w:val="0"/>
      <w:marBottom w:val="0"/>
      <w:divBdr>
        <w:top w:val="none" w:sz="0" w:space="0" w:color="auto"/>
        <w:left w:val="none" w:sz="0" w:space="0" w:color="auto"/>
        <w:bottom w:val="none" w:sz="0" w:space="0" w:color="auto"/>
        <w:right w:val="none" w:sz="0" w:space="0" w:color="auto"/>
      </w:divBdr>
      <w:divsChild>
        <w:div w:id="1814370767">
          <w:marLeft w:val="0"/>
          <w:marRight w:val="0"/>
          <w:marTop w:val="0"/>
          <w:marBottom w:val="0"/>
          <w:divBdr>
            <w:top w:val="single" w:sz="2" w:space="0" w:color="auto"/>
            <w:left w:val="single" w:sz="2" w:space="0" w:color="auto"/>
            <w:bottom w:val="single" w:sz="6" w:space="0" w:color="auto"/>
            <w:right w:val="single" w:sz="2" w:space="0" w:color="auto"/>
          </w:divBdr>
          <w:divsChild>
            <w:div w:id="155808214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644597">
                  <w:marLeft w:val="0"/>
                  <w:marRight w:val="0"/>
                  <w:marTop w:val="0"/>
                  <w:marBottom w:val="0"/>
                  <w:divBdr>
                    <w:top w:val="single" w:sz="2" w:space="0" w:color="D9D9E3"/>
                    <w:left w:val="single" w:sz="2" w:space="0" w:color="D9D9E3"/>
                    <w:bottom w:val="single" w:sz="2" w:space="0" w:color="D9D9E3"/>
                    <w:right w:val="single" w:sz="2" w:space="0" w:color="D9D9E3"/>
                  </w:divBdr>
                  <w:divsChild>
                    <w:div w:id="687566104">
                      <w:marLeft w:val="0"/>
                      <w:marRight w:val="0"/>
                      <w:marTop w:val="0"/>
                      <w:marBottom w:val="0"/>
                      <w:divBdr>
                        <w:top w:val="single" w:sz="2" w:space="0" w:color="D9D9E3"/>
                        <w:left w:val="single" w:sz="2" w:space="0" w:color="D9D9E3"/>
                        <w:bottom w:val="single" w:sz="2" w:space="0" w:color="D9D9E3"/>
                        <w:right w:val="single" w:sz="2" w:space="0" w:color="D9D9E3"/>
                      </w:divBdr>
                      <w:divsChild>
                        <w:div w:id="338822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57242693">
          <w:marLeft w:val="0"/>
          <w:marRight w:val="0"/>
          <w:marTop w:val="0"/>
          <w:marBottom w:val="0"/>
          <w:divBdr>
            <w:top w:val="single" w:sz="2" w:space="0" w:color="auto"/>
            <w:left w:val="single" w:sz="2" w:space="0" w:color="auto"/>
            <w:bottom w:val="single" w:sz="6" w:space="0" w:color="auto"/>
            <w:right w:val="single" w:sz="2" w:space="0" w:color="auto"/>
          </w:divBdr>
          <w:divsChild>
            <w:div w:id="1556506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851988479">
                  <w:marLeft w:val="0"/>
                  <w:marRight w:val="0"/>
                  <w:marTop w:val="0"/>
                  <w:marBottom w:val="0"/>
                  <w:divBdr>
                    <w:top w:val="single" w:sz="2" w:space="0" w:color="D9D9E3"/>
                    <w:left w:val="single" w:sz="2" w:space="0" w:color="D9D9E3"/>
                    <w:bottom w:val="single" w:sz="2" w:space="0" w:color="D9D9E3"/>
                    <w:right w:val="single" w:sz="2" w:space="0" w:color="D9D9E3"/>
                  </w:divBdr>
                  <w:divsChild>
                    <w:div w:id="60256297">
                      <w:marLeft w:val="0"/>
                      <w:marRight w:val="0"/>
                      <w:marTop w:val="0"/>
                      <w:marBottom w:val="0"/>
                      <w:divBdr>
                        <w:top w:val="single" w:sz="2" w:space="0" w:color="D9D9E3"/>
                        <w:left w:val="single" w:sz="2" w:space="0" w:color="D9D9E3"/>
                        <w:bottom w:val="single" w:sz="2" w:space="0" w:color="D9D9E3"/>
                        <w:right w:val="single" w:sz="2" w:space="0" w:color="D9D9E3"/>
                      </w:divBdr>
                      <w:divsChild>
                        <w:div w:id="752627342">
                          <w:marLeft w:val="0"/>
                          <w:marRight w:val="0"/>
                          <w:marTop w:val="0"/>
                          <w:marBottom w:val="0"/>
                          <w:divBdr>
                            <w:top w:val="single" w:sz="2" w:space="0" w:color="D9D9E3"/>
                            <w:left w:val="single" w:sz="2" w:space="0" w:color="D9D9E3"/>
                            <w:bottom w:val="single" w:sz="2" w:space="0" w:color="D9D9E3"/>
                            <w:right w:val="single" w:sz="2" w:space="0" w:color="D9D9E3"/>
                          </w:divBdr>
                          <w:divsChild>
                            <w:div w:id="870188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0335974">
      <w:bodyDiv w:val="1"/>
      <w:marLeft w:val="0"/>
      <w:marRight w:val="0"/>
      <w:marTop w:val="0"/>
      <w:marBottom w:val="0"/>
      <w:divBdr>
        <w:top w:val="none" w:sz="0" w:space="0" w:color="auto"/>
        <w:left w:val="none" w:sz="0" w:space="0" w:color="auto"/>
        <w:bottom w:val="none" w:sz="0" w:space="0" w:color="auto"/>
        <w:right w:val="none" w:sz="0" w:space="0" w:color="auto"/>
      </w:divBdr>
      <w:divsChild>
        <w:div w:id="781265644">
          <w:marLeft w:val="0"/>
          <w:marRight w:val="0"/>
          <w:marTop w:val="0"/>
          <w:marBottom w:val="0"/>
          <w:divBdr>
            <w:top w:val="none" w:sz="0" w:space="0" w:color="auto"/>
            <w:left w:val="none" w:sz="0" w:space="0" w:color="auto"/>
            <w:bottom w:val="single" w:sz="6" w:space="0" w:color="DADCE0"/>
            <w:right w:val="none" w:sz="0" w:space="0" w:color="auto"/>
          </w:divBdr>
          <w:divsChild>
            <w:div w:id="1463112284">
              <w:marLeft w:val="0"/>
              <w:marRight w:val="0"/>
              <w:marTop w:val="0"/>
              <w:marBottom w:val="0"/>
              <w:divBdr>
                <w:top w:val="none" w:sz="0" w:space="0" w:color="auto"/>
                <w:left w:val="none" w:sz="0" w:space="0" w:color="auto"/>
                <w:bottom w:val="none" w:sz="0" w:space="0" w:color="auto"/>
                <w:right w:val="none" w:sz="0" w:space="0" w:color="auto"/>
              </w:divBdr>
              <w:divsChild>
                <w:div w:id="2022049729">
                  <w:marLeft w:val="0"/>
                  <w:marRight w:val="0"/>
                  <w:marTop w:val="0"/>
                  <w:marBottom w:val="0"/>
                  <w:divBdr>
                    <w:top w:val="none" w:sz="0" w:space="0" w:color="auto"/>
                    <w:left w:val="none" w:sz="0" w:space="0" w:color="auto"/>
                    <w:bottom w:val="none" w:sz="0" w:space="0" w:color="auto"/>
                    <w:right w:val="none" w:sz="0" w:space="0" w:color="auto"/>
                  </w:divBdr>
                  <w:divsChild>
                    <w:div w:id="744843261">
                      <w:marLeft w:val="0"/>
                      <w:marRight w:val="0"/>
                      <w:marTop w:val="0"/>
                      <w:marBottom w:val="60"/>
                      <w:divBdr>
                        <w:top w:val="none" w:sz="0" w:space="0" w:color="auto"/>
                        <w:left w:val="none" w:sz="0" w:space="0" w:color="auto"/>
                        <w:bottom w:val="none" w:sz="0" w:space="0" w:color="auto"/>
                        <w:right w:val="none" w:sz="0" w:space="0" w:color="auto"/>
                      </w:divBdr>
                      <w:divsChild>
                        <w:div w:id="1551989983">
                          <w:marLeft w:val="0"/>
                          <w:marRight w:val="0"/>
                          <w:marTop w:val="0"/>
                          <w:marBottom w:val="0"/>
                          <w:divBdr>
                            <w:top w:val="none" w:sz="0" w:space="0" w:color="auto"/>
                            <w:left w:val="none" w:sz="0" w:space="0" w:color="auto"/>
                            <w:bottom w:val="none" w:sz="0" w:space="0" w:color="auto"/>
                            <w:right w:val="none" w:sz="0" w:space="0" w:color="auto"/>
                          </w:divBdr>
                          <w:divsChild>
                            <w:div w:id="108476913">
                              <w:marLeft w:val="0"/>
                              <w:marRight w:val="0"/>
                              <w:marTop w:val="0"/>
                              <w:marBottom w:val="0"/>
                              <w:divBdr>
                                <w:top w:val="none" w:sz="0" w:space="0" w:color="auto"/>
                                <w:left w:val="none" w:sz="0" w:space="0" w:color="auto"/>
                                <w:bottom w:val="none" w:sz="0" w:space="0" w:color="auto"/>
                                <w:right w:val="none" w:sz="0" w:space="0" w:color="auto"/>
                              </w:divBdr>
                              <w:divsChild>
                                <w:div w:id="563025717">
                                  <w:marLeft w:val="0"/>
                                  <w:marRight w:val="150"/>
                                  <w:marTop w:val="30"/>
                                  <w:marBottom w:val="0"/>
                                  <w:divBdr>
                                    <w:top w:val="none" w:sz="0" w:space="0" w:color="auto"/>
                                    <w:left w:val="none" w:sz="0" w:space="0" w:color="auto"/>
                                    <w:bottom w:val="none" w:sz="0" w:space="0" w:color="auto"/>
                                    <w:right w:val="none" w:sz="0" w:space="0" w:color="auto"/>
                                  </w:divBdr>
                                  <w:divsChild>
                                    <w:div w:id="17124248">
                                      <w:marLeft w:val="0"/>
                                      <w:marRight w:val="0"/>
                                      <w:marTop w:val="0"/>
                                      <w:marBottom w:val="0"/>
                                      <w:divBdr>
                                        <w:top w:val="none" w:sz="0" w:space="0" w:color="auto"/>
                                        <w:left w:val="none" w:sz="0" w:space="0" w:color="auto"/>
                                        <w:bottom w:val="none" w:sz="0" w:space="0" w:color="auto"/>
                                        <w:right w:val="none" w:sz="0" w:space="0" w:color="auto"/>
                                      </w:divBdr>
                                    </w:div>
                                  </w:divsChild>
                                </w:div>
                                <w:div w:id="1734157824">
                                  <w:marLeft w:val="0"/>
                                  <w:marRight w:val="150"/>
                                  <w:marTop w:val="30"/>
                                  <w:marBottom w:val="0"/>
                                  <w:divBdr>
                                    <w:top w:val="none" w:sz="0" w:space="0" w:color="auto"/>
                                    <w:left w:val="none" w:sz="0" w:space="0" w:color="auto"/>
                                    <w:bottom w:val="none" w:sz="0" w:space="0" w:color="auto"/>
                                    <w:right w:val="none" w:sz="0" w:space="0" w:color="auto"/>
                                  </w:divBdr>
                                  <w:divsChild>
                                    <w:div w:id="1266497869">
                                      <w:marLeft w:val="0"/>
                                      <w:marRight w:val="0"/>
                                      <w:marTop w:val="0"/>
                                      <w:marBottom w:val="0"/>
                                      <w:divBdr>
                                        <w:top w:val="none" w:sz="0" w:space="0" w:color="auto"/>
                                        <w:left w:val="none" w:sz="0" w:space="0" w:color="auto"/>
                                        <w:bottom w:val="none" w:sz="0" w:space="0" w:color="auto"/>
                                        <w:right w:val="none" w:sz="0" w:space="0" w:color="auto"/>
                                      </w:divBdr>
                                    </w:div>
                                  </w:divsChild>
                                </w:div>
                                <w:div w:id="667755043">
                                  <w:marLeft w:val="0"/>
                                  <w:marRight w:val="0"/>
                                  <w:marTop w:val="0"/>
                                  <w:marBottom w:val="0"/>
                                  <w:divBdr>
                                    <w:top w:val="none" w:sz="0" w:space="0" w:color="auto"/>
                                    <w:left w:val="none" w:sz="0" w:space="0" w:color="auto"/>
                                    <w:bottom w:val="none" w:sz="0" w:space="0" w:color="auto"/>
                                    <w:right w:val="none" w:sz="0" w:space="0" w:color="auto"/>
                                  </w:divBdr>
                                  <w:divsChild>
                                    <w:div w:id="149829504">
                                      <w:marLeft w:val="0"/>
                                      <w:marRight w:val="0"/>
                                      <w:marTop w:val="0"/>
                                      <w:marBottom w:val="0"/>
                                      <w:divBdr>
                                        <w:top w:val="none" w:sz="0" w:space="0" w:color="auto"/>
                                        <w:left w:val="none" w:sz="0" w:space="0" w:color="auto"/>
                                        <w:bottom w:val="none" w:sz="0" w:space="0" w:color="auto"/>
                                        <w:right w:val="none" w:sz="0" w:space="0" w:color="auto"/>
                                      </w:divBdr>
                                      <w:divsChild>
                                        <w:div w:id="1886914687">
                                          <w:marLeft w:val="0"/>
                                          <w:marRight w:val="0"/>
                                          <w:marTop w:val="0"/>
                                          <w:marBottom w:val="0"/>
                                          <w:divBdr>
                                            <w:top w:val="none" w:sz="0" w:space="0" w:color="auto"/>
                                            <w:left w:val="none" w:sz="0" w:space="0" w:color="auto"/>
                                            <w:bottom w:val="none" w:sz="0" w:space="0" w:color="auto"/>
                                            <w:right w:val="none" w:sz="0" w:space="0" w:color="auto"/>
                                          </w:divBdr>
                                          <w:divsChild>
                                            <w:div w:id="852646231">
                                              <w:marLeft w:val="0"/>
                                              <w:marRight w:val="0"/>
                                              <w:marTop w:val="0"/>
                                              <w:marBottom w:val="0"/>
                                              <w:divBdr>
                                                <w:top w:val="none" w:sz="0" w:space="0" w:color="auto"/>
                                                <w:left w:val="none" w:sz="0" w:space="0" w:color="auto"/>
                                                <w:bottom w:val="none" w:sz="0" w:space="0" w:color="auto"/>
                                                <w:right w:val="none" w:sz="0" w:space="0" w:color="auto"/>
                                              </w:divBdr>
                                              <w:divsChild>
                                                <w:div w:id="1588806095">
                                                  <w:marLeft w:val="360"/>
                                                  <w:marRight w:val="360"/>
                                                  <w:marTop w:val="360"/>
                                                  <w:marBottom w:val="360"/>
                                                  <w:divBdr>
                                                    <w:top w:val="none" w:sz="0" w:space="0" w:color="auto"/>
                                                    <w:left w:val="none" w:sz="0" w:space="0" w:color="auto"/>
                                                    <w:bottom w:val="none" w:sz="0" w:space="0" w:color="auto"/>
                                                    <w:right w:val="none" w:sz="0" w:space="0" w:color="auto"/>
                                                  </w:divBdr>
                                                  <w:divsChild>
                                                    <w:div w:id="17926247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35912840">
                                      <w:marLeft w:val="0"/>
                                      <w:marRight w:val="0"/>
                                      <w:marTop w:val="0"/>
                                      <w:marBottom w:val="0"/>
                                      <w:divBdr>
                                        <w:top w:val="none" w:sz="0" w:space="0" w:color="auto"/>
                                        <w:left w:val="none" w:sz="0" w:space="0" w:color="auto"/>
                                        <w:bottom w:val="none" w:sz="0" w:space="0" w:color="auto"/>
                                        <w:right w:val="none" w:sz="0" w:space="0" w:color="auto"/>
                                      </w:divBdr>
                                    </w:div>
                                  </w:divsChild>
                                </w:div>
                                <w:div w:id="840391413">
                                  <w:marLeft w:val="0"/>
                                  <w:marRight w:val="150"/>
                                  <w:marTop w:val="30"/>
                                  <w:marBottom w:val="0"/>
                                  <w:divBdr>
                                    <w:top w:val="none" w:sz="0" w:space="0" w:color="auto"/>
                                    <w:left w:val="none" w:sz="0" w:space="0" w:color="auto"/>
                                    <w:bottom w:val="none" w:sz="0" w:space="0" w:color="auto"/>
                                    <w:right w:val="none" w:sz="0" w:space="0" w:color="auto"/>
                                  </w:divBdr>
                                  <w:divsChild>
                                    <w:div w:id="1860660893">
                                      <w:marLeft w:val="0"/>
                                      <w:marRight w:val="0"/>
                                      <w:marTop w:val="0"/>
                                      <w:marBottom w:val="0"/>
                                      <w:divBdr>
                                        <w:top w:val="none" w:sz="0" w:space="0" w:color="auto"/>
                                        <w:left w:val="none" w:sz="0" w:space="0" w:color="auto"/>
                                        <w:bottom w:val="none" w:sz="0" w:space="0" w:color="auto"/>
                                        <w:right w:val="none" w:sz="0" w:space="0" w:color="auto"/>
                                      </w:divBdr>
                                      <w:divsChild>
                                        <w:div w:id="864682988">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588150368">
                  <w:marLeft w:val="0"/>
                  <w:marRight w:val="0"/>
                  <w:marTop w:val="0"/>
                  <w:marBottom w:val="0"/>
                  <w:divBdr>
                    <w:top w:val="none" w:sz="0" w:space="0" w:color="auto"/>
                    <w:left w:val="none" w:sz="0" w:space="0" w:color="auto"/>
                    <w:bottom w:val="none" w:sz="0" w:space="0" w:color="auto"/>
                    <w:right w:val="none" w:sz="0" w:space="0" w:color="auto"/>
                  </w:divBdr>
                  <w:divsChild>
                    <w:div w:id="564029068">
                      <w:marLeft w:val="0"/>
                      <w:marRight w:val="0"/>
                      <w:marTop w:val="0"/>
                      <w:marBottom w:val="0"/>
                      <w:divBdr>
                        <w:top w:val="none" w:sz="0" w:space="0" w:color="auto"/>
                        <w:left w:val="none" w:sz="0" w:space="0" w:color="auto"/>
                        <w:bottom w:val="none" w:sz="0" w:space="0" w:color="auto"/>
                        <w:right w:val="none" w:sz="0" w:space="0" w:color="auto"/>
                      </w:divBdr>
                      <w:divsChild>
                        <w:div w:id="21147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3496">
                  <w:marLeft w:val="0"/>
                  <w:marRight w:val="0"/>
                  <w:marTop w:val="0"/>
                  <w:marBottom w:val="0"/>
                  <w:divBdr>
                    <w:top w:val="none" w:sz="0" w:space="0" w:color="auto"/>
                    <w:left w:val="none" w:sz="0" w:space="0" w:color="auto"/>
                    <w:bottom w:val="none" w:sz="0" w:space="0" w:color="auto"/>
                    <w:right w:val="none" w:sz="0" w:space="0" w:color="auto"/>
                  </w:divBdr>
                  <w:divsChild>
                    <w:div w:id="2008899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307130300">
          <w:marLeft w:val="0"/>
          <w:marRight w:val="0"/>
          <w:marTop w:val="0"/>
          <w:marBottom w:val="0"/>
          <w:divBdr>
            <w:top w:val="none" w:sz="0" w:space="0" w:color="auto"/>
            <w:left w:val="none" w:sz="0" w:space="0" w:color="auto"/>
            <w:bottom w:val="none" w:sz="0" w:space="0" w:color="auto"/>
            <w:right w:val="none" w:sz="0" w:space="0" w:color="auto"/>
          </w:divBdr>
          <w:divsChild>
            <w:div w:id="1291518810">
              <w:marLeft w:val="0"/>
              <w:marRight w:val="0"/>
              <w:marTop w:val="0"/>
              <w:marBottom w:val="0"/>
              <w:divBdr>
                <w:top w:val="none" w:sz="0" w:space="0" w:color="auto"/>
                <w:left w:val="none" w:sz="0" w:space="0" w:color="auto"/>
                <w:bottom w:val="none" w:sz="0" w:space="0" w:color="auto"/>
                <w:right w:val="none" w:sz="0" w:space="0" w:color="auto"/>
              </w:divBdr>
              <w:divsChild>
                <w:div w:id="1349481469">
                  <w:marLeft w:val="0"/>
                  <w:marRight w:val="0"/>
                  <w:marTop w:val="0"/>
                  <w:marBottom w:val="0"/>
                  <w:divBdr>
                    <w:top w:val="none" w:sz="0" w:space="0" w:color="auto"/>
                    <w:left w:val="none" w:sz="0" w:space="0" w:color="auto"/>
                    <w:bottom w:val="none" w:sz="0" w:space="0" w:color="auto"/>
                    <w:right w:val="none" w:sz="0" w:space="0" w:color="auto"/>
                  </w:divBdr>
                  <w:divsChild>
                    <w:div w:id="294071591">
                      <w:marLeft w:val="0"/>
                      <w:marRight w:val="0"/>
                      <w:marTop w:val="0"/>
                      <w:marBottom w:val="0"/>
                      <w:divBdr>
                        <w:top w:val="none" w:sz="0" w:space="0" w:color="auto"/>
                        <w:left w:val="none" w:sz="0" w:space="0" w:color="auto"/>
                        <w:bottom w:val="none" w:sz="0" w:space="0" w:color="auto"/>
                        <w:right w:val="none" w:sz="0" w:space="0" w:color="auto"/>
                      </w:divBdr>
                      <w:divsChild>
                        <w:div w:id="1198931379">
                          <w:marLeft w:val="0"/>
                          <w:marRight w:val="0"/>
                          <w:marTop w:val="0"/>
                          <w:marBottom w:val="0"/>
                          <w:divBdr>
                            <w:top w:val="none" w:sz="0" w:space="0" w:color="auto"/>
                            <w:left w:val="none" w:sz="0" w:space="0" w:color="auto"/>
                            <w:bottom w:val="none" w:sz="0" w:space="0" w:color="auto"/>
                            <w:right w:val="none" w:sz="0" w:space="0" w:color="auto"/>
                          </w:divBdr>
                          <w:divsChild>
                            <w:div w:id="1988242310">
                              <w:marLeft w:val="0"/>
                              <w:marRight w:val="0"/>
                              <w:marTop w:val="0"/>
                              <w:marBottom w:val="0"/>
                              <w:divBdr>
                                <w:top w:val="none" w:sz="0" w:space="0" w:color="auto"/>
                                <w:left w:val="none" w:sz="0" w:space="0" w:color="auto"/>
                                <w:bottom w:val="none" w:sz="0" w:space="0" w:color="auto"/>
                                <w:right w:val="none" w:sz="0" w:space="0" w:color="auto"/>
                              </w:divBdr>
                              <w:divsChild>
                                <w:div w:id="1663853348">
                                  <w:marLeft w:val="0"/>
                                  <w:marRight w:val="0"/>
                                  <w:marTop w:val="0"/>
                                  <w:marBottom w:val="0"/>
                                  <w:divBdr>
                                    <w:top w:val="none" w:sz="0" w:space="0" w:color="auto"/>
                                    <w:left w:val="none" w:sz="0" w:space="0" w:color="auto"/>
                                    <w:bottom w:val="none" w:sz="0" w:space="0" w:color="auto"/>
                                    <w:right w:val="none" w:sz="0" w:space="0" w:color="auto"/>
                                  </w:divBdr>
                                  <w:divsChild>
                                    <w:div w:id="497498142">
                                      <w:marLeft w:val="0"/>
                                      <w:marRight w:val="0"/>
                                      <w:marTop w:val="0"/>
                                      <w:marBottom w:val="0"/>
                                      <w:divBdr>
                                        <w:top w:val="none" w:sz="0" w:space="0" w:color="auto"/>
                                        <w:left w:val="none" w:sz="0" w:space="0" w:color="auto"/>
                                        <w:bottom w:val="none" w:sz="0" w:space="0" w:color="auto"/>
                                        <w:right w:val="none" w:sz="0" w:space="0" w:color="auto"/>
                                      </w:divBdr>
                                      <w:divsChild>
                                        <w:div w:id="904143258">
                                          <w:marLeft w:val="0"/>
                                          <w:marRight w:val="0"/>
                                          <w:marTop w:val="0"/>
                                          <w:marBottom w:val="0"/>
                                          <w:divBdr>
                                            <w:top w:val="none" w:sz="0" w:space="0" w:color="auto"/>
                                            <w:left w:val="none" w:sz="0" w:space="0" w:color="auto"/>
                                            <w:bottom w:val="none" w:sz="0" w:space="0" w:color="auto"/>
                                            <w:right w:val="none" w:sz="0" w:space="0" w:color="auto"/>
                                          </w:divBdr>
                                          <w:divsChild>
                                            <w:div w:id="1455098445">
                                              <w:marLeft w:val="0"/>
                                              <w:marRight w:val="0"/>
                                              <w:marTop w:val="0"/>
                                              <w:marBottom w:val="0"/>
                                              <w:divBdr>
                                                <w:top w:val="none" w:sz="0" w:space="0" w:color="auto"/>
                                                <w:left w:val="none" w:sz="0" w:space="0" w:color="auto"/>
                                                <w:bottom w:val="none" w:sz="0" w:space="0" w:color="auto"/>
                                                <w:right w:val="none" w:sz="0" w:space="0" w:color="auto"/>
                                              </w:divBdr>
                                              <w:divsChild>
                                                <w:div w:id="1498183824">
                                                  <w:marLeft w:val="0"/>
                                                  <w:marRight w:val="0"/>
                                                  <w:marTop w:val="0"/>
                                                  <w:marBottom w:val="0"/>
                                                  <w:divBdr>
                                                    <w:top w:val="none" w:sz="0" w:space="0" w:color="auto"/>
                                                    <w:left w:val="none" w:sz="0" w:space="0" w:color="auto"/>
                                                    <w:bottom w:val="none" w:sz="0" w:space="0" w:color="auto"/>
                                                    <w:right w:val="none" w:sz="0" w:space="0" w:color="auto"/>
                                                  </w:divBdr>
                                                  <w:divsChild>
                                                    <w:div w:id="710498262">
                                                      <w:marLeft w:val="0"/>
                                                      <w:marRight w:val="0"/>
                                                      <w:marTop w:val="0"/>
                                                      <w:marBottom w:val="0"/>
                                                      <w:divBdr>
                                                        <w:top w:val="none" w:sz="0" w:space="0" w:color="auto"/>
                                                        <w:left w:val="none" w:sz="0" w:space="0" w:color="auto"/>
                                                        <w:bottom w:val="none" w:sz="0" w:space="0" w:color="auto"/>
                                                        <w:right w:val="none" w:sz="0" w:space="0" w:color="auto"/>
                                                      </w:divBdr>
                                                      <w:divsChild>
                                                        <w:div w:id="856231568">
                                                          <w:marLeft w:val="0"/>
                                                          <w:marRight w:val="0"/>
                                                          <w:marTop w:val="0"/>
                                                          <w:marBottom w:val="0"/>
                                                          <w:divBdr>
                                                            <w:top w:val="none" w:sz="0" w:space="0" w:color="auto"/>
                                                            <w:left w:val="none" w:sz="0" w:space="0" w:color="auto"/>
                                                            <w:bottom w:val="none" w:sz="0" w:space="0" w:color="auto"/>
                                                            <w:right w:val="none" w:sz="0" w:space="0" w:color="auto"/>
                                                          </w:divBdr>
                                                          <w:divsChild>
                                                            <w:div w:id="10090605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86348704">
                                                  <w:marLeft w:val="0"/>
                                                  <w:marRight w:val="0"/>
                                                  <w:marTop w:val="0"/>
                                                  <w:marBottom w:val="0"/>
                                                  <w:divBdr>
                                                    <w:top w:val="none" w:sz="0" w:space="0" w:color="auto"/>
                                                    <w:left w:val="none" w:sz="0" w:space="0" w:color="auto"/>
                                                    <w:bottom w:val="none" w:sz="0" w:space="0" w:color="auto"/>
                                                    <w:right w:val="none" w:sz="0" w:space="0" w:color="auto"/>
                                                  </w:divBdr>
                                                  <w:divsChild>
                                                    <w:div w:id="511260756">
                                                      <w:marLeft w:val="0"/>
                                                      <w:marRight w:val="0"/>
                                                      <w:marTop w:val="0"/>
                                                      <w:marBottom w:val="0"/>
                                                      <w:divBdr>
                                                        <w:top w:val="none" w:sz="0" w:space="0" w:color="auto"/>
                                                        <w:left w:val="none" w:sz="0" w:space="0" w:color="auto"/>
                                                        <w:bottom w:val="none" w:sz="0" w:space="0" w:color="auto"/>
                                                        <w:right w:val="none" w:sz="0" w:space="0" w:color="auto"/>
                                                      </w:divBdr>
                                                      <w:divsChild>
                                                        <w:div w:id="1464928387">
                                                          <w:marLeft w:val="0"/>
                                                          <w:marRight w:val="0"/>
                                                          <w:marTop w:val="105"/>
                                                          <w:marBottom w:val="0"/>
                                                          <w:divBdr>
                                                            <w:top w:val="none" w:sz="0" w:space="0" w:color="auto"/>
                                                            <w:left w:val="none" w:sz="0" w:space="0" w:color="auto"/>
                                                            <w:bottom w:val="none" w:sz="0" w:space="0" w:color="auto"/>
                                                            <w:right w:val="none" w:sz="0" w:space="0" w:color="auto"/>
                                                          </w:divBdr>
                                                          <w:divsChild>
                                                            <w:div w:id="2118673581">
                                                              <w:marLeft w:val="0"/>
                                                              <w:marRight w:val="0"/>
                                                              <w:marTop w:val="0"/>
                                                              <w:marBottom w:val="0"/>
                                                              <w:divBdr>
                                                                <w:top w:val="none" w:sz="0" w:space="0" w:color="auto"/>
                                                                <w:left w:val="none" w:sz="0" w:space="0" w:color="auto"/>
                                                                <w:bottom w:val="none" w:sz="0" w:space="0" w:color="auto"/>
                                                                <w:right w:val="none" w:sz="0" w:space="0" w:color="auto"/>
                                                              </w:divBdr>
                                                              <w:divsChild>
                                                                <w:div w:id="1208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01283">
                                                  <w:marLeft w:val="0"/>
                                                  <w:marRight w:val="0"/>
                                                  <w:marTop w:val="0"/>
                                                  <w:marBottom w:val="0"/>
                                                  <w:divBdr>
                                                    <w:top w:val="none" w:sz="0" w:space="0" w:color="auto"/>
                                                    <w:left w:val="none" w:sz="0" w:space="0" w:color="auto"/>
                                                    <w:bottom w:val="none" w:sz="0" w:space="0" w:color="auto"/>
                                                    <w:right w:val="none" w:sz="0" w:space="0" w:color="auto"/>
                                                  </w:divBdr>
                                                  <w:divsChild>
                                                    <w:div w:id="1515538577">
                                                      <w:marLeft w:val="0"/>
                                                      <w:marRight w:val="0"/>
                                                      <w:marTop w:val="0"/>
                                                      <w:marBottom w:val="0"/>
                                                      <w:divBdr>
                                                        <w:top w:val="none" w:sz="0" w:space="0" w:color="auto"/>
                                                        <w:left w:val="none" w:sz="0" w:space="0" w:color="auto"/>
                                                        <w:bottom w:val="none" w:sz="0" w:space="0" w:color="auto"/>
                                                        <w:right w:val="none" w:sz="0" w:space="0" w:color="auto"/>
                                                      </w:divBdr>
                                                      <w:divsChild>
                                                        <w:div w:id="1630477453">
                                                          <w:marLeft w:val="0"/>
                                                          <w:marRight w:val="0"/>
                                                          <w:marTop w:val="0"/>
                                                          <w:marBottom w:val="0"/>
                                                          <w:divBdr>
                                                            <w:top w:val="none" w:sz="0" w:space="0" w:color="auto"/>
                                                            <w:left w:val="none" w:sz="0" w:space="0" w:color="auto"/>
                                                            <w:bottom w:val="none" w:sz="0" w:space="0" w:color="auto"/>
                                                            <w:right w:val="none" w:sz="0" w:space="0" w:color="auto"/>
                                                          </w:divBdr>
                                                          <w:divsChild>
                                                            <w:div w:id="12959207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9309422">
      <w:bodyDiv w:val="1"/>
      <w:marLeft w:val="0"/>
      <w:marRight w:val="0"/>
      <w:marTop w:val="0"/>
      <w:marBottom w:val="0"/>
      <w:divBdr>
        <w:top w:val="none" w:sz="0" w:space="0" w:color="auto"/>
        <w:left w:val="none" w:sz="0" w:space="0" w:color="auto"/>
        <w:bottom w:val="none" w:sz="0" w:space="0" w:color="auto"/>
        <w:right w:val="none" w:sz="0" w:space="0" w:color="auto"/>
      </w:divBdr>
      <w:divsChild>
        <w:div w:id="336542677">
          <w:blockQuote w:val="1"/>
          <w:marLeft w:val="0"/>
          <w:marRight w:val="0"/>
          <w:marTop w:val="300"/>
          <w:marBottom w:val="450"/>
          <w:divBdr>
            <w:top w:val="none" w:sz="0" w:space="0" w:color="00457A"/>
            <w:left w:val="single" w:sz="36" w:space="15" w:color="00457A"/>
            <w:bottom w:val="none" w:sz="0" w:space="0" w:color="00457A"/>
            <w:right w:val="none" w:sz="0" w:space="0" w:color="00457A"/>
          </w:divBdr>
        </w:div>
        <w:div w:id="1780296258">
          <w:blockQuote w:val="1"/>
          <w:marLeft w:val="0"/>
          <w:marRight w:val="0"/>
          <w:marTop w:val="300"/>
          <w:marBottom w:val="450"/>
          <w:divBdr>
            <w:top w:val="none" w:sz="0" w:space="0" w:color="00457A"/>
            <w:left w:val="single" w:sz="36" w:space="15" w:color="00457A"/>
            <w:bottom w:val="none" w:sz="0" w:space="0" w:color="00457A"/>
            <w:right w:val="none" w:sz="0" w:space="0" w:color="00457A"/>
          </w:divBdr>
        </w:div>
      </w:divsChild>
    </w:div>
    <w:div w:id="999116568">
      <w:bodyDiv w:val="1"/>
      <w:marLeft w:val="0"/>
      <w:marRight w:val="0"/>
      <w:marTop w:val="0"/>
      <w:marBottom w:val="0"/>
      <w:divBdr>
        <w:top w:val="none" w:sz="0" w:space="0" w:color="auto"/>
        <w:left w:val="none" w:sz="0" w:space="0" w:color="auto"/>
        <w:bottom w:val="none" w:sz="0" w:space="0" w:color="auto"/>
        <w:right w:val="none" w:sz="0" w:space="0" w:color="auto"/>
      </w:divBdr>
      <w:divsChild>
        <w:div w:id="1818574009">
          <w:marLeft w:val="0"/>
          <w:marRight w:val="0"/>
          <w:marTop w:val="0"/>
          <w:marBottom w:val="0"/>
          <w:divBdr>
            <w:top w:val="single" w:sz="2" w:space="0" w:color="auto"/>
            <w:left w:val="single" w:sz="2" w:space="0" w:color="auto"/>
            <w:bottom w:val="single" w:sz="6" w:space="0" w:color="auto"/>
            <w:right w:val="single" w:sz="2" w:space="0" w:color="auto"/>
          </w:divBdr>
          <w:divsChild>
            <w:div w:id="43022047">
              <w:marLeft w:val="0"/>
              <w:marRight w:val="0"/>
              <w:marTop w:val="100"/>
              <w:marBottom w:val="100"/>
              <w:divBdr>
                <w:top w:val="single" w:sz="2" w:space="0" w:color="D9D9E3"/>
                <w:left w:val="single" w:sz="2" w:space="0" w:color="D9D9E3"/>
                <w:bottom w:val="single" w:sz="2" w:space="0" w:color="D9D9E3"/>
                <w:right w:val="single" w:sz="2" w:space="0" w:color="D9D9E3"/>
              </w:divBdr>
              <w:divsChild>
                <w:div w:id="776369357">
                  <w:marLeft w:val="0"/>
                  <w:marRight w:val="0"/>
                  <w:marTop w:val="0"/>
                  <w:marBottom w:val="0"/>
                  <w:divBdr>
                    <w:top w:val="single" w:sz="2" w:space="0" w:color="D9D9E3"/>
                    <w:left w:val="single" w:sz="2" w:space="0" w:color="D9D9E3"/>
                    <w:bottom w:val="single" w:sz="2" w:space="0" w:color="D9D9E3"/>
                    <w:right w:val="single" w:sz="2" w:space="0" w:color="D9D9E3"/>
                  </w:divBdr>
                  <w:divsChild>
                    <w:div w:id="1254587802">
                      <w:marLeft w:val="0"/>
                      <w:marRight w:val="0"/>
                      <w:marTop w:val="0"/>
                      <w:marBottom w:val="0"/>
                      <w:divBdr>
                        <w:top w:val="single" w:sz="2" w:space="0" w:color="D9D9E3"/>
                        <w:left w:val="single" w:sz="2" w:space="0" w:color="D9D9E3"/>
                        <w:bottom w:val="single" w:sz="2" w:space="0" w:color="D9D9E3"/>
                        <w:right w:val="single" w:sz="2" w:space="0" w:color="D9D9E3"/>
                      </w:divBdr>
                      <w:divsChild>
                        <w:div w:id="376051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8916081">
          <w:marLeft w:val="0"/>
          <w:marRight w:val="0"/>
          <w:marTop w:val="0"/>
          <w:marBottom w:val="0"/>
          <w:divBdr>
            <w:top w:val="single" w:sz="2" w:space="0" w:color="auto"/>
            <w:left w:val="single" w:sz="2" w:space="0" w:color="auto"/>
            <w:bottom w:val="single" w:sz="6" w:space="0" w:color="auto"/>
            <w:right w:val="single" w:sz="2" w:space="0" w:color="auto"/>
          </w:divBdr>
          <w:divsChild>
            <w:div w:id="721712125">
              <w:marLeft w:val="0"/>
              <w:marRight w:val="0"/>
              <w:marTop w:val="100"/>
              <w:marBottom w:val="100"/>
              <w:divBdr>
                <w:top w:val="single" w:sz="2" w:space="0" w:color="D9D9E3"/>
                <w:left w:val="single" w:sz="2" w:space="0" w:color="D9D9E3"/>
                <w:bottom w:val="single" w:sz="2" w:space="0" w:color="D9D9E3"/>
                <w:right w:val="single" w:sz="2" w:space="0" w:color="D9D9E3"/>
              </w:divBdr>
              <w:divsChild>
                <w:div w:id="1448965136">
                  <w:marLeft w:val="0"/>
                  <w:marRight w:val="0"/>
                  <w:marTop w:val="0"/>
                  <w:marBottom w:val="0"/>
                  <w:divBdr>
                    <w:top w:val="single" w:sz="2" w:space="0" w:color="D9D9E3"/>
                    <w:left w:val="single" w:sz="2" w:space="0" w:color="D9D9E3"/>
                    <w:bottom w:val="single" w:sz="2" w:space="0" w:color="D9D9E3"/>
                    <w:right w:val="single" w:sz="2" w:space="0" w:color="D9D9E3"/>
                  </w:divBdr>
                  <w:divsChild>
                    <w:div w:id="1787311660">
                      <w:marLeft w:val="0"/>
                      <w:marRight w:val="0"/>
                      <w:marTop w:val="0"/>
                      <w:marBottom w:val="0"/>
                      <w:divBdr>
                        <w:top w:val="single" w:sz="2" w:space="0" w:color="D9D9E3"/>
                        <w:left w:val="single" w:sz="2" w:space="0" w:color="D9D9E3"/>
                        <w:bottom w:val="single" w:sz="2" w:space="0" w:color="D9D9E3"/>
                        <w:right w:val="single" w:sz="2" w:space="0" w:color="D9D9E3"/>
                      </w:divBdr>
                      <w:divsChild>
                        <w:div w:id="1821651651">
                          <w:marLeft w:val="0"/>
                          <w:marRight w:val="0"/>
                          <w:marTop w:val="0"/>
                          <w:marBottom w:val="0"/>
                          <w:divBdr>
                            <w:top w:val="single" w:sz="2" w:space="0" w:color="D9D9E3"/>
                            <w:left w:val="single" w:sz="2" w:space="0" w:color="D9D9E3"/>
                            <w:bottom w:val="single" w:sz="2" w:space="0" w:color="D9D9E3"/>
                            <w:right w:val="single" w:sz="2" w:space="0" w:color="D9D9E3"/>
                          </w:divBdr>
                          <w:divsChild>
                            <w:div w:id="390928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34886867">
      <w:bodyDiv w:val="1"/>
      <w:marLeft w:val="0"/>
      <w:marRight w:val="0"/>
      <w:marTop w:val="0"/>
      <w:marBottom w:val="0"/>
      <w:divBdr>
        <w:top w:val="none" w:sz="0" w:space="0" w:color="auto"/>
        <w:left w:val="none" w:sz="0" w:space="0" w:color="auto"/>
        <w:bottom w:val="none" w:sz="0" w:space="0" w:color="auto"/>
        <w:right w:val="none" w:sz="0" w:space="0" w:color="auto"/>
      </w:divBdr>
      <w:divsChild>
        <w:div w:id="755513996">
          <w:marLeft w:val="0"/>
          <w:marRight w:val="0"/>
          <w:marTop w:val="0"/>
          <w:marBottom w:val="0"/>
          <w:divBdr>
            <w:top w:val="single" w:sz="2" w:space="0" w:color="auto"/>
            <w:left w:val="single" w:sz="2" w:space="0" w:color="auto"/>
            <w:bottom w:val="single" w:sz="6" w:space="0" w:color="auto"/>
            <w:right w:val="single" w:sz="2" w:space="0" w:color="auto"/>
          </w:divBdr>
          <w:divsChild>
            <w:div w:id="87419536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92877">
                  <w:marLeft w:val="0"/>
                  <w:marRight w:val="0"/>
                  <w:marTop w:val="0"/>
                  <w:marBottom w:val="0"/>
                  <w:divBdr>
                    <w:top w:val="single" w:sz="2" w:space="0" w:color="D9D9E3"/>
                    <w:left w:val="single" w:sz="2" w:space="0" w:color="D9D9E3"/>
                    <w:bottom w:val="single" w:sz="2" w:space="0" w:color="D9D9E3"/>
                    <w:right w:val="single" w:sz="2" w:space="0" w:color="D9D9E3"/>
                  </w:divBdr>
                  <w:divsChild>
                    <w:div w:id="676151791">
                      <w:marLeft w:val="0"/>
                      <w:marRight w:val="0"/>
                      <w:marTop w:val="0"/>
                      <w:marBottom w:val="0"/>
                      <w:divBdr>
                        <w:top w:val="single" w:sz="2" w:space="0" w:color="D9D9E3"/>
                        <w:left w:val="single" w:sz="2" w:space="0" w:color="D9D9E3"/>
                        <w:bottom w:val="single" w:sz="2" w:space="0" w:color="D9D9E3"/>
                        <w:right w:val="single" w:sz="2" w:space="0" w:color="D9D9E3"/>
                      </w:divBdr>
                      <w:divsChild>
                        <w:div w:id="67045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9470983">
          <w:marLeft w:val="0"/>
          <w:marRight w:val="0"/>
          <w:marTop w:val="0"/>
          <w:marBottom w:val="0"/>
          <w:divBdr>
            <w:top w:val="single" w:sz="2" w:space="0" w:color="auto"/>
            <w:left w:val="single" w:sz="2" w:space="0" w:color="auto"/>
            <w:bottom w:val="single" w:sz="6" w:space="0" w:color="auto"/>
            <w:right w:val="single" w:sz="2" w:space="0" w:color="auto"/>
          </w:divBdr>
          <w:divsChild>
            <w:div w:id="913049708">
              <w:marLeft w:val="0"/>
              <w:marRight w:val="0"/>
              <w:marTop w:val="100"/>
              <w:marBottom w:val="100"/>
              <w:divBdr>
                <w:top w:val="single" w:sz="2" w:space="0" w:color="D9D9E3"/>
                <w:left w:val="single" w:sz="2" w:space="0" w:color="D9D9E3"/>
                <w:bottom w:val="single" w:sz="2" w:space="0" w:color="D9D9E3"/>
                <w:right w:val="single" w:sz="2" w:space="0" w:color="D9D9E3"/>
              </w:divBdr>
              <w:divsChild>
                <w:div w:id="240022781">
                  <w:marLeft w:val="0"/>
                  <w:marRight w:val="0"/>
                  <w:marTop w:val="0"/>
                  <w:marBottom w:val="0"/>
                  <w:divBdr>
                    <w:top w:val="single" w:sz="2" w:space="0" w:color="D9D9E3"/>
                    <w:left w:val="single" w:sz="2" w:space="0" w:color="D9D9E3"/>
                    <w:bottom w:val="single" w:sz="2" w:space="0" w:color="D9D9E3"/>
                    <w:right w:val="single" w:sz="2" w:space="0" w:color="D9D9E3"/>
                  </w:divBdr>
                  <w:divsChild>
                    <w:div w:id="273363008">
                      <w:marLeft w:val="0"/>
                      <w:marRight w:val="0"/>
                      <w:marTop w:val="0"/>
                      <w:marBottom w:val="0"/>
                      <w:divBdr>
                        <w:top w:val="single" w:sz="2" w:space="0" w:color="D9D9E3"/>
                        <w:left w:val="single" w:sz="2" w:space="0" w:color="D9D9E3"/>
                        <w:bottom w:val="single" w:sz="2" w:space="0" w:color="D9D9E3"/>
                        <w:right w:val="single" w:sz="2" w:space="0" w:color="D9D9E3"/>
                      </w:divBdr>
                      <w:divsChild>
                        <w:div w:id="1992755741">
                          <w:marLeft w:val="0"/>
                          <w:marRight w:val="0"/>
                          <w:marTop w:val="0"/>
                          <w:marBottom w:val="0"/>
                          <w:divBdr>
                            <w:top w:val="single" w:sz="2" w:space="0" w:color="D9D9E3"/>
                            <w:left w:val="single" w:sz="2" w:space="0" w:color="D9D9E3"/>
                            <w:bottom w:val="single" w:sz="2" w:space="0" w:color="D9D9E3"/>
                            <w:right w:val="single" w:sz="2" w:space="0" w:color="D9D9E3"/>
                          </w:divBdr>
                          <w:divsChild>
                            <w:div w:id="829447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67144591">
      <w:bodyDiv w:val="1"/>
      <w:marLeft w:val="0"/>
      <w:marRight w:val="0"/>
      <w:marTop w:val="0"/>
      <w:marBottom w:val="0"/>
      <w:divBdr>
        <w:top w:val="none" w:sz="0" w:space="0" w:color="auto"/>
        <w:left w:val="none" w:sz="0" w:space="0" w:color="auto"/>
        <w:bottom w:val="none" w:sz="0" w:space="0" w:color="auto"/>
        <w:right w:val="none" w:sz="0" w:space="0" w:color="auto"/>
      </w:divBdr>
      <w:divsChild>
        <w:div w:id="1749842814">
          <w:marLeft w:val="0"/>
          <w:marRight w:val="0"/>
          <w:marTop w:val="0"/>
          <w:marBottom w:val="0"/>
          <w:divBdr>
            <w:top w:val="none" w:sz="0" w:space="0" w:color="auto"/>
            <w:left w:val="none" w:sz="0" w:space="0" w:color="auto"/>
            <w:bottom w:val="none" w:sz="0" w:space="0" w:color="auto"/>
            <w:right w:val="none" w:sz="0" w:space="0" w:color="auto"/>
          </w:divBdr>
        </w:div>
      </w:divsChild>
    </w:div>
    <w:div w:id="1079017204">
      <w:bodyDiv w:val="1"/>
      <w:marLeft w:val="0"/>
      <w:marRight w:val="0"/>
      <w:marTop w:val="0"/>
      <w:marBottom w:val="0"/>
      <w:divBdr>
        <w:top w:val="none" w:sz="0" w:space="0" w:color="auto"/>
        <w:left w:val="none" w:sz="0" w:space="0" w:color="auto"/>
        <w:bottom w:val="none" w:sz="0" w:space="0" w:color="auto"/>
        <w:right w:val="none" w:sz="0" w:space="0" w:color="auto"/>
      </w:divBdr>
      <w:divsChild>
        <w:div w:id="1852334373">
          <w:marLeft w:val="0"/>
          <w:marRight w:val="0"/>
          <w:marTop w:val="0"/>
          <w:marBottom w:val="0"/>
          <w:divBdr>
            <w:top w:val="none" w:sz="0" w:space="0" w:color="auto"/>
            <w:left w:val="none" w:sz="0" w:space="0" w:color="auto"/>
            <w:bottom w:val="none" w:sz="0" w:space="0" w:color="auto"/>
            <w:right w:val="none" w:sz="0" w:space="0" w:color="auto"/>
          </w:divBdr>
        </w:div>
      </w:divsChild>
    </w:div>
    <w:div w:id="1140148318">
      <w:bodyDiv w:val="1"/>
      <w:marLeft w:val="0"/>
      <w:marRight w:val="0"/>
      <w:marTop w:val="0"/>
      <w:marBottom w:val="0"/>
      <w:divBdr>
        <w:top w:val="none" w:sz="0" w:space="0" w:color="auto"/>
        <w:left w:val="none" w:sz="0" w:space="0" w:color="auto"/>
        <w:bottom w:val="none" w:sz="0" w:space="0" w:color="auto"/>
        <w:right w:val="none" w:sz="0" w:space="0" w:color="auto"/>
      </w:divBdr>
      <w:divsChild>
        <w:div w:id="1203444122">
          <w:marLeft w:val="0"/>
          <w:marRight w:val="0"/>
          <w:marTop w:val="750"/>
          <w:marBottom w:val="1500"/>
          <w:divBdr>
            <w:top w:val="none" w:sz="0" w:space="0" w:color="auto"/>
            <w:left w:val="none" w:sz="0" w:space="0" w:color="auto"/>
            <w:bottom w:val="none" w:sz="0" w:space="0" w:color="auto"/>
            <w:right w:val="none" w:sz="0" w:space="0" w:color="auto"/>
          </w:divBdr>
          <w:divsChild>
            <w:div w:id="1478959135">
              <w:marLeft w:val="-180"/>
              <w:marRight w:val="-180"/>
              <w:marTop w:val="0"/>
              <w:marBottom w:val="0"/>
              <w:divBdr>
                <w:top w:val="none" w:sz="0" w:space="0" w:color="auto"/>
                <w:left w:val="none" w:sz="0" w:space="0" w:color="auto"/>
                <w:bottom w:val="none" w:sz="0" w:space="0" w:color="auto"/>
                <w:right w:val="none" w:sz="0" w:space="0" w:color="auto"/>
              </w:divBdr>
              <w:divsChild>
                <w:div w:id="2141263395">
                  <w:marLeft w:val="0"/>
                  <w:marRight w:val="0"/>
                  <w:marTop w:val="0"/>
                  <w:marBottom w:val="0"/>
                  <w:divBdr>
                    <w:top w:val="none" w:sz="0" w:space="0" w:color="auto"/>
                    <w:left w:val="none" w:sz="0" w:space="0" w:color="auto"/>
                    <w:bottom w:val="none" w:sz="0" w:space="0" w:color="auto"/>
                    <w:right w:val="none" w:sz="0" w:space="0" w:color="auto"/>
                  </w:divBdr>
                  <w:divsChild>
                    <w:div w:id="1769540118">
                      <w:marLeft w:val="0"/>
                      <w:marRight w:val="0"/>
                      <w:marTop w:val="0"/>
                      <w:marBottom w:val="0"/>
                      <w:divBdr>
                        <w:top w:val="none" w:sz="0" w:space="0" w:color="auto"/>
                        <w:left w:val="none" w:sz="0" w:space="0" w:color="auto"/>
                        <w:bottom w:val="none" w:sz="0" w:space="0" w:color="auto"/>
                        <w:right w:val="none" w:sz="0" w:space="0" w:color="auto"/>
                      </w:divBdr>
                      <w:divsChild>
                        <w:div w:id="1861621748">
                          <w:marLeft w:val="0"/>
                          <w:marRight w:val="0"/>
                          <w:marTop w:val="0"/>
                          <w:marBottom w:val="0"/>
                          <w:divBdr>
                            <w:top w:val="none" w:sz="0" w:space="0" w:color="auto"/>
                            <w:left w:val="none" w:sz="0" w:space="0" w:color="auto"/>
                            <w:bottom w:val="none" w:sz="0" w:space="0" w:color="auto"/>
                            <w:right w:val="none" w:sz="0" w:space="0" w:color="auto"/>
                          </w:divBdr>
                          <w:divsChild>
                            <w:div w:id="246035232">
                              <w:marLeft w:val="0"/>
                              <w:marRight w:val="0"/>
                              <w:marTop w:val="0"/>
                              <w:marBottom w:val="0"/>
                              <w:divBdr>
                                <w:top w:val="none" w:sz="0" w:space="0" w:color="auto"/>
                                <w:left w:val="none" w:sz="0" w:space="0" w:color="auto"/>
                                <w:bottom w:val="none" w:sz="0" w:space="0" w:color="auto"/>
                                <w:right w:val="none" w:sz="0" w:space="0" w:color="auto"/>
                              </w:divBdr>
                            </w:div>
                            <w:div w:id="427773834">
                              <w:marLeft w:val="0"/>
                              <w:marRight w:val="0"/>
                              <w:marTop w:val="0"/>
                              <w:marBottom w:val="0"/>
                              <w:divBdr>
                                <w:top w:val="none" w:sz="0" w:space="0" w:color="auto"/>
                                <w:left w:val="none" w:sz="0" w:space="0" w:color="auto"/>
                                <w:bottom w:val="none" w:sz="0" w:space="0" w:color="auto"/>
                                <w:right w:val="none" w:sz="0" w:space="0" w:color="auto"/>
                              </w:divBdr>
                              <w:divsChild>
                                <w:div w:id="18107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338337">
      <w:bodyDiv w:val="1"/>
      <w:marLeft w:val="0"/>
      <w:marRight w:val="0"/>
      <w:marTop w:val="0"/>
      <w:marBottom w:val="0"/>
      <w:divBdr>
        <w:top w:val="none" w:sz="0" w:space="0" w:color="auto"/>
        <w:left w:val="none" w:sz="0" w:space="0" w:color="auto"/>
        <w:bottom w:val="none" w:sz="0" w:space="0" w:color="auto"/>
        <w:right w:val="none" w:sz="0" w:space="0" w:color="auto"/>
      </w:divBdr>
      <w:divsChild>
        <w:div w:id="983042818">
          <w:marLeft w:val="0"/>
          <w:marRight w:val="0"/>
          <w:marTop w:val="0"/>
          <w:marBottom w:val="0"/>
          <w:divBdr>
            <w:top w:val="single" w:sz="2" w:space="0" w:color="auto"/>
            <w:left w:val="single" w:sz="2" w:space="0" w:color="auto"/>
            <w:bottom w:val="single" w:sz="6" w:space="0" w:color="auto"/>
            <w:right w:val="single" w:sz="2" w:space="0" w:color="auto"/>
          </w:divBdr>
          <w:divsChild>
            <w:div w:id="1919248276">
              <w:marLeft w:val="0"/>
              <w:marRight w:val="0"/>
              <w:marTop w:val="100"/>
              <w:marBottom w:val="100"/>
              <w:divBdr>
                <w:top w:val="single" w:sz="2" w:space="0" w:color="D9D9E3"/>
                <w:left w:val="single" w:sz="2" w:space="0" w:color="D9D9E3"/>
                <w:bottom w:val="single" w:sz="2" w:space="0" w:color="D9D9E3"/>
                <w:right w:val="single" w:sz="2" w:space="0" w:color="D9D9E3"/>
              </w:divBdr>
              <w:divsChild>
                <w:div w:id="1944418449">
                  <w:marLeft w:val="0"/>
                  <w:marRight w:val="0"/>
                  <w:marTop w:val="0"/>
                  <w:marBottom w:val="0"/>
                  <w:divBdr>
                    <w:top w:val="single" w:sz="2" w:space="0" w:color="D9D9E3"/>
                    <w:left w:val="single" w:sz="2" w:space="0" w:color="D9D9E3"/>
                    <w:bottom w:val="single" w:sz="2" w:space="0" w:color="D9D9E3"/>
                    <w:right w:val="single" w:sz="2" w:space="0" w:color="D9D9E3"/>
                  </w:divBdr>
                  <w:divsChild>
                    <w:div w:id="1288705539">
                      <w:marLeft w:val="0"/>
                      <w:marRight w:val="0"/>
                      <w:marTop w:val="0"/>
                      <w:marBottom w:val="0"/>
                      <w:divBdr>
                        <w:top w:val="single" w:sz="2" w:space="0" w:color="D9D9E3"/>
                        <w:left w:val="single" w:sz="2" w:space="0" w:color="D9D9E3"/>
                        <w:bottom w:val="single" w:sz="2" w:space="0" w:color="D9D9E3"/>
                        <w:right w:val="single" w:sz="2" w:space="0" w:color="D9D9E3"/>
                      </w:divBdr>
                      <w:divsChild>
                        <w:div w:id="1031688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8707268">
          <w:marLeft w:val="0"/>
          <w:marRight w:val="0"/>
          <w:marTop w:val="0"/>
          <w:marBottom w:val="0"/>
          <w:divBdr>
            <w:top w:val="single" w:sz="2" w:space="0" w:color="auto"/>
            <w:left w:val="single" w:sz="2" w:space="0" w:color="auto"/>
            <w:bottom w:val="single" w:sz="6" w:space="0" w:color="auto"/>
            <w:right w:val="single" w:sz="2" w:space="0" w:color="auto"/>
          </w:divBdr>
          <w:divsChild>
            <w:div w:id="1949577177">
              <w:marLeft w:val="0"/>
              <w:marRight w:val="0"/>
              <w:marTop w:val="100"/>
              <w:marBottom w:val="100"/>
              <w:divBdr>
                <w:top w:val="single" w:sz="2" w:space="0" w:color="D9D9E3"/>
                <w:left w:val="single" w:sz="2" w:space="0" w:color="D9D9E3"/>
                <w:bottom w:val="single" w:sz="2" w:space="0" w:color="D9D9E3"/>
                <w:right w:val="single" w:sz="2" w:space="0" w:color="D9D9E3"/>
              </w:divBdr>
              <w:divsChild>
                <w:div w:id="1267074461">
                  <w:marLeft w:val="0"/>
                  <w:marRight w:val="0"/>
                  <w:marTop w:val="0"/>
                  <w:marBottom w:val="0"/>
                  <w:divBdr>
                    <w:top w:val="single" w:sz="2" w:space="0" w:color="D9D9E3"/>
                    <w:left w:val="single" w:sz="2" w:space="0" w:color="D9D9E3"/>
                    <w:bottom w:val="single" w:sz="2" w:space="0" w:color="D9D9E3"/>
                    <w:right w:val="single" w:sz="2" w:space="0" w:color="D9D9E3"/>
                  </w:divBdr>
                  <w:divsChild>
                    <w:div w:id="1147863088">
                      <w:marLeft w:val="0"/>
                      <w:marRight w:val="0"/>
                      <w:marTop w:val="0"/>
                      <w:marBottom w:val="0"/>
                      <w:divBdr>
                        <w:top w:val="single" w:sz="2" w:space="0" w:color="D9D9E3"/>
                        <w:left w:val="single" w:sz="2" w:space="0" w:color="D9D9E3"/>
                        <w:bottom w:val="single" w:sz="2" w:space="0" w:color="D9D9E3"/>
                        <w:right w:val="single" w:sz="2" w:space="0" w:color="D9D9E3"/>
                      </w:divBdr>
                      <w:divsChild>
                        <w:div w:id="9140074">
                          <w:marLeft w:val="0"/>
                          <w:marRight w:val="0"/>
                          <w:marTop w:val="0"/>
                          <w:marBottom w:val="0"/>
                          <w:divBdr>
                            <w:top w:val="single" w:sz="2" w:space="0" w:color="D9D9E3"/>
                            <w:left w:val="single" w:sz="2" w:space="0" w:color="D9D9E3"/>
                            <w:bottom w:val="single" w:sz="2" w:space="0" w:color="D9D9E3"/>
                            <w:right w:val="single" w:sz="2" w:space="0" w:color="D9D9E3"/>
                          </w:divBdr>
                          <w:divsChild>
                            <w:div w:id="1716540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6632387">
      <w:bodyDiv w:val="1"/>
      <w:marLeft w:val="0"/>
      <w:marRight w:val="0"/>
      <w:marTop w:val="0"/>
      <w:marBottom w:val="0"/>
      <w:divBdr>
        <w:top w:val="none" w:sz="0" w:space="0" w:color="auto"/>
        <w:left w:val="none" w:sz="0" w:space="0" w:color="auto"/>
        <w:bottom w:val="none" w:sz="0" w:space="0" w:color="auto"/>
        <w:right w:val="none" w:sz="0" w:space="0" w:color="auto"/>
      </w:divBdr>
      <w:divsChild>
        <w:div w:id="1912809908">
          <w:marLeft w:val="0"/>
          <w:marRight w:val="0"/>
          <w:marTop w:val="0"/>
          <w:marBottom w:val="0"/>
          <w:divBdr>
            <w:top w:val="single" w:sz="2" w:space="0" w:color="auto"/>
            <w:left w:val="single" w:sz="2" w:space="0" w:color="auto"/>
            <w:bottom w:val="single" w:sz="6" w:space="0" w:color="auto"/>
            <w:right w:val="single" w:sz="2" w:space="0" w:color="auto"/>
          </w:divBdr>
          <w:divsChild>
            <w:div w:id="32776934">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851523">
                  <w:marLeft w:val="0"/>
                  <w:marRight w:val="0"/>
                  <w:marTop w:val="0"/>
                  <w:marBottom w:val="0"/>
                  <w:divBdr>
                    <w:top w:val="single" w:sz="2" w:space="0" w:color="D9D9E3"/>
                    <w:left w:val="single" w:sz="2" w:space="0" w:color="D9D9E3"/>
                    <w:bottom w:val="single" w:sz="2" w:space="0" w:color="D9D9E3"/>
                    <w:right w:val="single" w:sz="2" w:space="0" w:color="D9D9E3"/>
                  </w:divBdr>
                  <w:divsChild>
                    <w:div w:id="395014726">
                      <w:marLeft w:val="0"/>
                      <w:marRight w:val="0"/>
                      <w:marTop w:val="0"/>
                      <w:marBottom w:val="0"/>
                      <w:divBdr>
                        <w:top w:val="single" w:sz="2" w:space="0" w:color="D9D9E3"/>
                        <w:left w:val="single" w:sz="2" w:space="0" w:color="D9D9E3"/>
                        <w:bottom w:val="single" w:sz="2" w:space="0" w:color="D9D9E3"/>
                        <w:right w:val="single" w:sz="2" w:space="0" w:color="D9D9E3"/>
                      </w:divBdr>
                      <w:divsChild>
                        <w:div w:id="1343514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24006221">
          <w:marLeft w:val="0"/>
          <w:marRight w:val="0"/>
          <w:marTop w:val="0"/>
          <w:marBottom w:val="0"/>
          <w:divBdr>
            <w:top w:val="single" w:sz="2" w:space="0" w:color="auto"/>
            <w:left w:val="single" w:sz="2" w:space="0" w:color="auto"/>
            <w:bottom w:val="single" w:sz="6" w:space="0" w:color="auto"/>
            <w:right w:val="single" w:sz="2" w:space="0" w:color="auto"/>
          </w:divBdr>
          <w:divsChild>
            <w:div w:id="1593662977">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058182">
                  <w:marLeft w:val="0"/>
                  <w:marRight w:val="0"/>
                  <w:marTop w:val="0"/>
                  <w:marBottom w:val="0"/>
                  <w:divBdr>
                    <w:top w:val="single" w:sz="2" w:space="0" w:color="D9D9E3"/>
                    <w:left w:val="single" w:sz="2" w:space="0" w:color="D9D9E3"/>
                    <w:bottom w:val="single" w:sz="2" w:space="0" w:color="D9D9E3"/>
                    <w:right w:val="single" w:sz="2" w:space="0" w:color="D9D9E3"/>
                  </w:divBdr>
                  <w:divsChild>
                    <w:div w:id="1929465584">
                      <w:marLeft w:val="0"/>
                      <w:marRight w:val="0"/>
                      <w:marTop w:val="0"/>
                      <w:marBottom w:val="0"/>
                      <w:divBdr>
                        <w:top w:val="single" w:sz="2" w:space="0" w:color="D9D9E3"/>
                        <w:left w:val="single" w:sz="2" w:space="0" w:color="D9D9E3"/>
                        <w:bottom w:val="single" w:sz="2" w:space="0" w:color="D9D9E3"/>
                        <w:right w:val="single" w:sz="2" w:space="0" w:color="D9D9E3"/>
                      </w:divBdr>
                      <w:divsChild>
                        <w:div w:id="315184277">
                          <w:marLeft w:val="0"/>
                          <w:marRight w:val="0"/>
                          <w:marTop w:val="0"/>
                          <w:marBottom w:val="0"/>
                          <w:divBdr>
                            <w:top w:val="single" w:sz="2" w:space="0" w:color="D9D9E3"/>
                            <w:left w:val="single" w:sz="2" w:space="0" w:color="D9D9E3"/>
                            <w:bottom w:val="single" w:sz="2" w:space="0" w:color="D9D9E3"/>
                            <w:right w:val="single" w:sz="2" w:space="0" w:color="D9D9E3"/>
                          </w:divBdr>
                          <w:divsChild>
                            <w:div w:id="1500001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1214330">
      <w:bodyDiv w:val="1"/>
      <w:marLeft w:val="0"/>
      <w:marRight w:val="0"/>
      <w:marTop w:val="0"/>
      <w:marBottom w:val="0"/>
      <w:divBdr>
        <w:top w:val="none" w:sz="0" w:space="0" w:color="auto"/>
        <w:left w:val="none" w:sz="0" w:space="0" w:color="auto"/>
        <w:bottom w:val="none" w:sz="0" w:space="0" w:color="auto"/>
        <w:right w:val="none" w:sz="0" w:space="0" w:color="auto"/>
      </w:divBdr>
    </w:div>
    <w:div w:id="1230580114">
      <w:bodyDiv w:val="1"/>
      <w:marLeft w:val="0"/>
      <w:marRight w:val="0"/>
      <w:marTop w:val="0"/>
      <w:marBottom w:val="0"/>
      <w:divBdr>
        <w:top w:val="none" w:sz="0" w:space="0" w:color="auto"/>
        <w:left w:val="none" w:sz="0" w:space="0" w:color="auto"/>
        <w:bottom w:val="none" w:sz="0" w:space="0" w:color="auto"/>
        <w:right w:val="none" w:sz="0" w:space="0" w:color="auto"/>
      </w:divBdr>
      <w:divsChild>
        <w:div w:id="730882771">
          <w:marLeft w:val="0"/>
          <w:marRight w:val="0"/>
          <w:marTop w:val="360"/>
          <w:marBottom w:val="0"/>
          <w:divBdr>
            <w:top w:val="none" w:sz="0" w:space="0" w:color="auto"/>
            <w:left w:val="none" w:sz="0" w:space="0" w:color="auto"/>
            <w:bottom w:val="none" w:sz="0" w:space="0" w:color="auto"/>
            <w:right w:val="none" w:sz="0" w:space="0" w:color="auto"/>
          </w:divBdr>
          <w:divsChild>
            <w:div w:id="327753047">
              <w:marLeft w:val="0"/>
              <w:marRight w:val="0"/>
              <w:marTop w:val="0"/>
              <w:marBottom w:val="0"/>
              <w:divBdr>
                <w:top w:val="none" w:sz="0" w:space="0" w:color="auto"/>
                <w:left w:val="single" w:sz="24" w:space="0" w:color="0076AE"/>
                <w:bottom w:val="none" w:sz="0" w:space="0" w:color="auto"/>
                <w:right w:val="none" w:sz="0" w:space="0" w:color="auto"/>
              </w:divBdr>
            </w:div>
          </w:divsChild>
        </w:div>
        <w:div w:id="562447230">
          <w:marLeft w:val="0"/>
          <w:marRight w:val="0"/>
          <w:marTop w:val="360"/>
          <w:marBottom w:val="0"/>
          <w:divBdr>
            <w:top w:val="none" w:sz="0" w:space="0" w:color="auto"/>
            <w:left w:val="none" w:sz="0" w:space="0" w:color="auto"/>
            <w:bottom w:val="none" w:sz="0" w:space="0" w:color="auto"/>
            <w:right w:val="none" w:sz="0" w:space="0" w:color="auto"/>
          </w:divBdr>
          <w:divsChild>
            <w:div w:id="757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49443">
      <w:bodyDiv w:val="1"/>
      <w:marLeft w:val="0"/>
      <w:marRight w:val="0"/>
      <w:marTop w:val="0"/>
      <w:marBottom w:val="0"/>
      <w:divBdr>
        <w:top w:val="none" w:sz="0" w:space="0" w:color="auto"/>
        <w:left w:val="none" w:sz="0" w:space="0" w:color="auto"/>
        <w:bottom w:val="none" w:sz="0" w:space="0" w:color="auto"/>
        <w:right w:val="none" w:sz="0" w:space="0" w:color="auto"/>
      </w:divBdr>
      <w:divsChild>
        <w:div w:id="1075739189">
          <w:marLeft w:val="0"/>
          <w:marRight w:val="0"/>
          <w:marTop w:val="0"/>
          <w:marBottom w:val="0"/>
          <w:divBdr>
            <w:top w:val="single" w:sz="2" w:space="0" w:color="auto"/>
            <w:left w:val="single" w:sz="2" w:space="0" w:color="auto"/>
            <w:bottom w:val="single" w:sz="6" w:space="0" w:color="auto"/>
            <w:right w:val="single" w:sz="2" w:space="0" w:color="auto"/>
          </w:divBdr>
          <w:divsChild>
            <w:div w:id="735057026">
              <w:marLeft w:val="0"/>
              <w:marRight w:val="0"/>
              <w:marTop w:val="100"/>
              <w:marBottom w:val="100"/>
              <w:divBdr>
                <w:top w:val="single" w:sz="2" w:space="0" w:color="D9D9E3"/>
                <w:left w:val="single" w:sz="2" w:space="0" w:color="D9D9E3"/>
                <w:bottom w:val="single" w:sz="2" w:space="0" w:color="D9D9E3"/>
                <w:right w:val="single" w:sz="2" w:space="0" w:color="D9D9E3"/>
              </w:divBdr>
              <w:divsChild>
                <w:div w:id="707071108">
                  <w:marLeft w:val="0"/>
                  <w:marRight w:val="0"/>
                  <w:marTop w:val="0"/>
                  <w:marBottom w:val="0"/>
                  <w:divBdr>
                    <w:top w:val="single" w:sz="2" w:space="0" w:color="D9D9E3"/>
                    <w:left w:val="single" w:sz="2" w:space="0" w:color="D9D9E3"/>
                    <w:bottom w:val="single" w:sz="2" w:space="0" w:color="D9D9E3"/>
                    <w:right w:val="single" w:sz="2" w:space="0" w:color="D9D9E3"/>
                  </w:divBdr>
                  <w:divsChild>
                    <w:div w:id="1030298327">
                      <w:marLeft w:val="0"/>
                      <w:marRight w:val="0"/>
                      <w:marTop w:val="0"/>
                      <w:marBottom w:val="0"/>
                      <w:divBdr>
                        <w:top w:val="single" w:sz="2" w:space="0" w:color="D9D9E3"/>
                        <w:left w:val="single" w:sz="2" w:space="0" w:color="D9D9E3"/>
                        <w:bottom w:val="single" w:sz="2" w:space="0" w:color="D9D9E3"/>
                        <w:right w:val="single" w:sz="2" w:space="0" w:color="D9D9E3"/>
                      </w:divBdr>
                      <w:divsChild>
                        <w:div w:id="20470245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85896953">
          <w:marLeft w:val="0"/>
          <w:marRight w:val="0"/>
          <w:marTop w:val="0"/>
          <w:marBottom w:val="0"/>
          <w:divBdr>
            <w:top w:val="single" w:sz="2" w:space="0" w:color="auto"/>
            <w:left w:val="single" w:sz="2" w:space="0" w:color="auto"/>
            <w:bottom w:val="single" w:sz="6" w:space="0" w:color="auto"/>
            <w:right w:val="single" w:sz="2" w:space="0" w:color="auto"/>
          </w:divBdr>
          <w:divsChild>
            <w:div w:id="5306495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9656621">
                  <w:marLeft w:val="0"/>
                  <w:marRight w:val="0"/>
                  <w:marTop w:val="0"/>
                  <w:marBottom w:val="0"/>
                  <w:divBdr>
                    <w:top w:val="single" w:sz="2" w:space="0" w:color="D9D9E3"/>
                    <w:left w:val="single" w:sz="2" w:space="0" w:color="D9D9E3"/>
                    <w:bottom w:val="single" w:sz="2" w:space="0" w:color="D9D9E3"/>
                    <w:right w:val="single" w:sz="2" w:space="0" w:color="D9D9E3"/>
                  </w:divBdr>
                  <w:divsChild>
                    <w:div w:id="695890428">
                      <w:marLeft w:val="0"/>
                      <w:marRight w:val="0"/>
                      <w:marTop w:val="0"/>
                      <w:marBottom w:val="0"/>
                      <w:divBdr>
                        <w:top w:val="single" w:sz="2" w:space="0" w:color="D9D9E3"/>
                        <w:left w:val="single" w:sz="2" w:space="0" w:color="D9D9E3"/>
                        <w:bottom w:val="single" w:sz="2" w:space="0" w:color="D9D9E3"/>
                        <w:right w:val="single" w:sz="2" w:space="0" w:color="D9D9E3"/>
                      </w:divBdr>
                      <w:divsChild>
                        <w:div w:id="1709842739">
                          <w:marLeft w:val="0"/>
                          <w:marRight w:val="0"/>
                          <w:marTop w:val="0"/>
                          <w:marBottom w:val="0"/>
                          <w:divBdr>
                            <w:top w:val="single" w:sz="2" w:space="0" w:color="D9D9E3"/>
                            <w:left w:val="single" w:sz="2" w:space="0" w:color="D9D9E3"/>
                            <w:bottom w:val="single" w:sz="2" w:space="0" w:color="D9D9E3"/>
                            <w:right w:val="single" w:sz="2" w:space="0" w:color="D9D9E3"/>
                          </w:divBdr>
                          <w:divsChild>
                            <w:div w:id="1014914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91402768">
      <w:bodyDiv w:val="1"/>
      <w:marLeft w:val="0"/>
      <w:marRight w:val="0"/>
      <w:marTop w:val="0"/>
      <w:marBottom w:val="0"/>
      <w:divBdr>
        <w:top w:val="none" w:sz="0" w:space="0" w:color="auto"/>
        <w:left w:val="none" w:sz="0" w:space="0" w:color="auto"/>
        <w:bottom w:val="none" w:sz="0" w:space="0" w:color="auto"/>
        <w:right w:val="none" w:sz="0" w:space="0" w:color="auto"/>
      </w:divBdr>
    </w:div>
    <w:div w:id="1506553484">
      <w:bodyDiv w:val="1"/>
      <w:marLeft w:val="0"/>
      <w:marRight w:val="0"/>
      <w:marTop w:val="0"/>
      <w:marBottom w:val="0"/>
      <w:divBdr>
        <w:top w:val="none" w:sz="0" w:space="0" w:color="auto"/>
        <w:left w:val="none" w:sz="0" w:space="0" w:color="auto"/>
        <w:bottom w:val="none" w:sz="0" w:space="0" w:color="auto"/>
        <w:right w:val="none" w:sz="0" w:space="0" w:color="auto"/>
      </w:divBdr>
      <w:divsChild>
        <w:div w:id="1461531790">
          <w:marLeft w:val="0"/>
          <w:marRight w:val="0"/>
          <w:marTop w:val="360"/>
          <w:marBottom w:val="0"/>
          <w:divBdr>
            <w:top w:val="none" w:sz="0" w:space="0" w:color="auto"/>
            <w:left w:val="none" w:sz="0" w:space="0" w:color="auto"/>
            <w:bottom w:val="none" w:sz="0" w:space="0" w:color="auto"/>
            <w:right w:val="none" w:sz="0" w:space="0" w:color="auto"/>
          </w:divBdr>
          <w:divsChild>
            <w:div w:id="1122573346">
              <w:marLeft w:val="0"/>
              <w:marRight w:val="0"/>
              <w:marTop w:val="0"/>
              <w:marBottom w:val="0"/>
              <w:divBdr>
                <w:top w:val="none" w:sz="0" w:space="0" w:color="auto"/>
                <w:left w:val="single" w:sz="24" w:space="0" w:color="0076AE"/>
                <w:bottom w:val="none" w:sz="0" w:space="0" w:color="auto"/>
                <w:right w:val="none" w:sz="0" w:space="0" w:color="auto"/>
              </w:divBdr>
            </w:div>
          </w:divsChild>
        </w:div>
        <w:div w:id="368264216">
          <w:marLeft w:val="0"/>
          <w:marRight w:val="0"/>
          <w:marTop w:val="360"/>
          <w:marBottom w:val="0"/>
          <w:divBdr>
            <w:top w:val="none" w:sz="0" w:space="0" w:color="auto"/>
            <w:left w:val="none" w:sz="0" w:space="0" w:color="auto"/>
            <w:bottom w:val="none" w:sz="0" w:space="0" w:color="auto"/>
            <w:right w:val="none" w:sz="0" w:space="0" w:color="auto"/>
          </w:divBdr>
          <w:divsChild>
            <w:div w:id="14763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3565">
      <w:bodyDiv w:val="1"/>
      <w:marLeft w:val="0"/>
      <w:marRight w:val="0"/>
      <w:marTop w:val="0"/>
      <w:marBottom w:val="0"/>
      <w:divBdr>
        <w:top w:val="none" w:sz="0" w:space="0" w:color="auto"/>
        <w:left w:val="none" w:sz="0" w:space="0" w:color="auto"/>
        <w:bottom w:val="none" w:sz="0" w:space="0" w:color="auto"/>
        <w:right w:val="none" w:sz="0" w:space="0" w:color="auto"/>
      </w:divBdr>
      <w:divsChild>
        <w:div w:id="1071737098">
          <w:marLeft w:val="0"/>
          <w:marRight w:val="0"/>
          <w:marTop w:val="0"/>
          <w:marBottom w:val="0"/>
          <w:divBdr>
            <w:top w:val="none" w:sz="0" w:space="0" w:color="auto"/>
            <w:left w:val="none" w:sz="0" w:space="0" w:color="auto"/>
            <w:bottom w:val="none" w:sz="0" w:space="0" w:color="auto"/>
            <w:right w:val="none" w:sz="0" w:space="0" w:color="auto"/>
          </w:divBdr>
          <w:divsChild>
            <w:div w:id="909967518">
              <w:marLeft w:val="0"/>
              <w:marRight w:val="0"/>
              <w:marTop w:val="300"/>
              <w:marBottom w:val="300"/>
              <w:divBdr>
                <w:top w:val="none" w:sz="0" w:space="0" w:color="auto"/>
                <w:left w:val="none" w:sz="0" w:space="0" w:color="auto"/>
                <w:bottom w:val="none" w:sz="0" w:space="0" w:color="auto"/>
                <w:right w:val="none" w:sz="0" w:space="0" w:color="auto"/>
              </w:divBdr>
            </w:div>
          </w:divsChild>
        </w:div>
        <w:div w:id="915162343">
          <w:marLeft w:val="0"/>
          <w:marRight w:val="0"/>
          <w:marTop w:val="0"/>
          <w:marBottom w:val="0"/>
          <w:divBdr>
            <w:top w:val="none" w:sz="0" w:space="0" w:color="auto"/>
            <w:left w:val="none" w:sz="0" w:space="0" w:color="auto"/>
            <w:bottom w:val="none" w:sz="0" w:space="0" w:color="auto"/>
            <w:right w:val="none" w:sz="0" w:space="0" w:color="auto"/>
          </w:divBdr>
        </w:div>
      </w:divsChild>
    </w:div>
    <w:div w:id="1558392674">
      <w:bodyDiv w:val="1"/>
      <w:marLeft w:val="0"/>
      <w:marRight w:val="0"/>
      <w:marTop w:val="0"/>
      <w:marBottom w:val="0"/>
      <w:divBdr>
        <w:top w:val="none" w:sz="0" w:space="0" w:color="auto"/>
        <w:left w:val="none" w:sz="0" w:space="0" w:color="auto"/>
        <w:bottom w:val="none" w:sz="0" w:space="0" w:color="auto"/>
        <w:right w:val="none" w:sz="0" w:space="0" w:color="auto"/>
      </w:divBdr>
      <w:divsChild>
        <w:div w:id="1927615754">
          <w:marLeft w:val="0"/>
          <w:marRight w:val="0"/>
          <w:marTop w:val="0"/>
          <w:marBottom w:val="0"/>
          <w:divBdr>
            <w:top w:val="single" w:sz="2" w:space="0" w:color="auto"/>
            <w:left w:val="single" w:sz="2" w:space="0" w:color="auto"/>
            <w:bottom w:val="single" w:sz="6" w:space="0" w:color="auto"/>
            <w:right w:val="single" w:sz="2" w:space="0" w:color="auto"/>
          </w:divBdr>
          <w:divsChild>
            <w:div w:id="693113753">
              <w:marLeft w:val="0"/>
              <w:marRight w:val="0"/>
              <w:marTop w:val="100"/>
              <w:marBottom w:val="100"/>
              <w:divBdr>
                <w:top w:val="single" w:sz="2" w:space="0" w:color="D9D9E3"/>
                <w:left w:val="single" w:sz="2" w:space="0" w:color="D9D9E3"/>
                <w:bottom w:val="single" w:sz="2" w:space="0" w:color="D9D9E3"/>
                <w:right w:val="single" w:sz="2" w:space="0" w:color="D9D9E3"/>
              </w:divBdr>
              <w:divsChild>
                <w:div w:id="1781027657">
                  <w:marLeft w:val="0"/>
                  <w:marRight w:val="0"/>
                  <w:marTop w:val="0"/>
                  <w:marBottom w:val="0"/>
                  <w:divBdr>
                    <w:top w:val="single" w:sz="2" w:space="0" w:color="D9D9E3"/>
                    <w:left w:val="single" w:sz="2" w:space="0" w:color="D9D9E3"/>
                    <w:bottom w:val="single" w:sz="2" w:space="0" w:color="D9D9E3"/>
                    <w:right w:val="single" w:sz="2" w:space="0" w:color="D9D9E3"/>
                  </w:divBdr>
                  <w:divsChild>
                    <w:div w:id="50425980">
                      <w:marLeft w:val="0"/>
                      <w:marRight w:val="0"/>
                      <w:marTop w:val="0"/>
                      <w:marBottom w:val="0"/>
                      <w:divBdr>
                        <w:top w:val="single" w:sz="2" w:space="0" w:color="D9D9E3"/>
                        <w:left w:val="single" w:sz="2" w:space="0" w:color="D9D9E3"/>
                        <w:bottom w:val="single" w:sz="2" w:space="0" w:color="D9D9E3"/>
                        <w:right w:val="single" w:sz="2" w:space="0" w:color="D9D9E3"/>
                      </w:divBdr>
                      <w:divsChild>
                        <w:div w:id="2116704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0295530">
          <w:marLeft w:val="0"/>
          <w:marRight w:val="0"/>
          <w:marTop w:val="0"/>
          <w:marBottom w:val="0"/>
          <w:divBdr>
            <w:top w:val="single" w:sz="2" w:space="0" w:color="auto"/>
            <w:left w:val="single" w:sz="2" w:space="0" w:color="auto"/>
            <w:bottom w:val="single" w:sz="6" w:space="0" w:color="auto"/>
            <w:right w:val="single" w:sz="2" w:space="0" w:color="auto"/>
          </w:divBdr>
          <w:divsChild>
            <w:div w:id="1030179707">
              <w:marLeft w:val="0"/>
              <w:marRight w:val="0"/>
              <w:marTop w:val="100"/>
              <w:marBottom w:val="100"/>
              <w:divBdr>
                <w:top w:val="single" w:sz="2" w:space="0" w:color="D9D9E3"/>
                <w:left w:val="single" w:sz="2" w:space="0" w:color="D9D9E3"/>
                <w:bottom w:val="single" w:sz="2" w:space="0" w:color="D9D9E3"/>
                <w:right w:val="single" w:sz="2" w:space="0" w:color="D9D9E3"/>
              </w:divBdr>
              <w:divsChild>
                <w:div w:id="670378348">
                  <w:marLeft w:val="0"/>
                  <w:marRight w:val="0"/>
                  <w:marTop w:val="0"/>
                  <w:marBottom w:val="0"/>
                  <w:divBdr>
                    <w:top w:val="single" w:sz="2" w:space="0" w:color="D9D9E3"/>
                    <w:left w:val="single" w:sz="2" w:space="0" w:color="D9D9E3"/>
                    <w:bottom w:val="single" w:sz="2" w:space="0" w:color="D9D9E3"/>
                    <w:right w:val="single" w:sz="2" w:space="0" w:color="D9D9E3"/>
                  </w:divBdr>
                  <w:divsChild>
                    <w:div w:id="490679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71339203">
                  <w:marLeft w:val="0"/>
                  <w:marRight w:val="0"/>
                  <w:marTop w:val="0"/>
                  <w:marBottom w:val="0"/>
                  <w:divBdr>
                    <w:top w:val="single" w:sz="2" w:space="0" w:color="D9D9E3"/>
                    <w:left w:val="single" w:sz="2" w:space="0" w:color="D9D9E3"/>
                    <w:bottom w:val="single" w:sz="2" w:space="0" w:color="D9D9E3"/>
                    <w:right w:val="single" w:sz="2" w:space="0" w:color="D9D9E3"/>
                  </w:divBdr>
                  <w:divsChild>
                    <w:div w:id="275602807">
                      <w:marLeft w:val="0"/>
                      <w:marRight w:val="0"/>
                      <w:marTop w:val="0"/>
                      <w:marBottom w:val="0"/>
                      <w:divBdr>
                        <w:top w:val="single" w:sz="2" w:space="0" w:color="D9D9E3"/>
                        <w:left w:val="single" w:sz="2" w:space="0" w:color="D9D9E3"/>
                        <w:bottom w:val="single" w:sz="2" w:space="0" w:color="D9D9E3"/>
                        <w:right w:val="single" w:sz="2" w:space="0" w:color="D9D9E3"/>
                      </w:divBdr>
                      <w:divsChild>
                        <w:div w:id="111676147">
                          <w:marLeft w:val="0"/>
                          <w:marRight w:val="0"/>
                          <w:marTop w:val="0"/>
                          <w:marBottom w:val="0"/>
                          <w:divBdr>
                            <w:top w:val="single" w:sz="2" w:space="0" w:color="D9D9E3"/>
                            <w:left w:val="single" w:sz="2" w:space="0" w:color="D9D9E3"/>
                            <w:bottom w:val="single" w:sz="2" w:space="0" w:color="D9D9E3"/>
                            <w:right w:val="single" w:sz="2" w:space="0" w:color="D9D9E3"/>
                          </w:divBdr>
                          <w:divsChild>
                            <w:div w:id="7759055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58860950">
      <w:bodyDiv w:val="1"/>
      <w:marLeft w:val="0"/>
      <w:marRight w:val="0"/>
      <w:marTop w:val="0"/>
      <w:marBottom w:val="0"/>
      <w:divBdr>
        <w:top w:val="none" w:sz="0" w:space="0" w:color="auto"/>
        <w:left w:val="none" w:sz="0" w:space="0" w:color="auto"/>
        <w:bottom w:val="none" w:sz="0" w:space="0" w:color="auto"/>
        <w:right w:val="none" w:sz="0" w:space="0" w:color="auto"/>
      </w:divBdr>
    </w:div>
    <w:div w:id="1566451466">
      <w:bodyDiv w:val="1"/>
      <w:marLeft w:val="0"/>
      <w:marRight w:val="0"/>
      <w:marTop w:val="0"/>
      <w:marBottom w:val="0"/>
      <w:divBdr>
        <w:top w:val="none" w:sz="0" w:space="0" w:color="auto"/>
        <w:left w:val="none" w:sz="0" w:space="0" w:color="auto"/>
        <w:bottom w:val="none" w:sz="0" w:space="0" w:color="auto"/>
        <w:right w:val="none" w:sz="0" w:space="0" w:color="auto"/>
      </w:divBdr>
    </w:div>
    <w:div w:id="1568418026">
      <w:bodyDiv w:val="1"/>
      <w:marLeft w:val="0"/>
      <w:marRight w:val="0"/>
      <w:marTop w:val="0"/>
      <w:marBottom w:val="0"/>
      <w:divBdr>
        <w:top w:val="none" w:sz="0" w:space="0" w:color="auto"/>
        <w:left w:val="none" w:sz="0" w:space="0" w:color="auto"/>
        <w:bottom w:val="none" w:sz="0" w:space="0" w:color="auto"/>
        <w:right w:val="none" w:sz="0" w:space="0" w:color="auto"/>
      </w:divBdr>
      <w:divsChild>
        <w:div w:id="1864979398">
          <w:marLeft w:val="0"/>
          <w:marRight w:val="0"/>
          <w:marTop w:val="0"/>
          <w:marBottom w:val="0"/>
          <w:divBdr>
            <w:top w:val="single" w:sz="2" w:space="0" w:color="auto"/>
            <w:left w:val="single" w:sz="2" w:space="0" w:color="auto"/>
            <w:bottom w:val="single" w:sz="6" w:space="0" w:color="auto"/>
            <w:right w:val="single" w:sz="2" w:space="0" w:color="auto"/>
          </w:divBdr>
          <w:divsChild>
            <w:div w:id="957570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5942490">
                  <w:marLeft w:val="0"/>
                  <w:marRight w:val="0"/>
                  <w:marTop w:val="0"/>
                  <w:marBottom w:val="0"/>
                  <w:divBdr>
                    <w:top w:val="single" w:sz="2" w:space="0" w:color="D9D9E3"/>
                    <w:left w:val="single" w:sz="2" w:space="0" w:color="D9D9E3"/>
                    <w:bottom w:val="single" w:sz="2" w:space="0" w:color="D9D9E3"/>
                    <w:right w:val="single" w:sz="2" w:space="0" w:color="D9D9E3"/>
                  </w:divBdr>
                  <w:divsChild>
                    <w:div w:id="896277529">
                      <w:marLeft w:val="0"/>
                      <w:marRight w:val="0"/>
                      <w:marTop w:val="0"/>
                      <w:marBottom w:val="0"/>
                      <w:divBdr>
                        <w:top w:val="single" w:sz="2" w:space="0" w:color="D9D9E3"/>
                        <w:left w:val="single" w:sz="2" w:space="0" w:color="D9D9E3"/>
                        <w:bottom w:val="single" w:sz="2" w:space="0" w:color="D9D9E3"/>
                        <w:right w:val="single" w:sz="2" w:space="0" w:color="D9D9E3"/>
                      </w:divBdr>
                      <w:divsChild>
                        <w:div w:id="1423338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96496230">
          <w:marLeft w:val="0"/>
          <w:marRight w:val="0"/>
          <w:marTop w:val="0"/>
          <w:marBottom w:val="0"/>
          <w:divBdr>
            <w:top w:val="single" w:sz="2" w:space="0" w:color="auto"/>
            <w:left w:val="single" w:sz="2" w:space="0" w:color="auto"/>
            <w:bottom w:val="single" w:sz="6" w:space="0" w:color="auto"/>
            <w:right w:val="single" w:sz="2" w:space="0" w:color="auto"/>
          </w:divBdr>
          <w:divsChild>
            <w:div w:id="395055162">
              <w:marLeft w:val="0"/>
              <w:marRight w:val="0"/>
              <w:marTop w:val="100"/>
              <w:marBottom w:val="100"/>
              <w:divBdr>
                <w:top w:val="single" w:sz="2" w:space="0" w:color="D9D9E3"/>
                <w:left w:val="single" w:sz="2" w:space="0" w:color="D9D9E3"/>
                <w:bottom w:val="single" w:sz="2" w:space="0" w:color="D9D9E3"/>
                <w:right w:val="single" w:sz="2" w:space="0" w:color="D9D9E3"/>
              </w:divBdr>
              <w:divsChild>
                <w:div w:id="212816525">
                  <w:marLeft w:val="0"/>
                  <w:marRight w:val="0"/>
                  <w:marTop w:val="0"/>
                  <w:marBottom w:val="0"/>
                  <w:divBdr>
                    <w:top w:val="single" w:sz="2" w:space="0" w:color="D9D9E3"/>
                    <w:left w:val="single" w:sz="2" w:space="0" w:color="D9D9E3"/>
                    <w:bottom w:val="single" w:sz="2" w:space="0" w:color="D9D9E3"/>
                    <w:right w:val="single" w:sz="2" w:space="0" w:color="D9D9E3"/>
                  </w:divBdr>
                  <w:divsChild>
                    <w:div w:id="1756828647">
                      <w:marLeft w:val="0"/>
                      <w:marRight w:val="0"/>
                      <w:marTop w:val="0"/>
                      <w:marBottom w:val="0"/>
                      <w:divBdr>
                        <w:top w:val="single" w:sz="2" w:space="0" w:color="D9D9E3"/>
                        <w:left w:val="single" w:sz="2" w:space="0" w:color="D9D9E3"/>
                        <w:bottom w:val="single" w:sz="2" w:space="0" w:color="D9D9E3"/>
                        <w:right w:val="single" w:sz="2" w:space="0" w:color="D9D9E3"/>
                      </w:divBdr>
                      <w:divsChild>
                        <w:div w:id="1118336081">
                          <w:marLeft w:val="0"/>
                          <w:marRight w:val="0"/>
                          <w:marTop w:val="0"/>
                          <w:marBottom w:val="0"/>
                          <w:divBdr>
                            <w:top w:val="single" w:sz="2" w:space="0" w:color="D9D9E3"/>
                            <w:left w:val="single" w:sz="2" w:space="0" w:color="D9D9E3"/>
                            <w:bottom w:val="single" w:sz="2" w:space="0" w:color="D9D9E3"/>
                            <w:right w:val="single" w:sz="2" w:space="0" w:color="D9D9E3"/>
                          </w:divBdr>
                          <w:divsChild>
                            <w:div w:id="969047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9511670">
      <w:bodyDiv w:val="1"/>
      <w:marLeft w:val="0"/>
      <w:marRight w:val="0"/>
      <w:marTop w:val="0"/>
      <w:marBottom w:val="0"/>
      <w:divBdr>
        <w:top w:val="none" w:sz="0" w:space="0" w:color="auto"/>
        <w:left w:val="none" w:sz="0" w:space="0" w:color="auto"/>
        <w:bottom w:val="none" w:sz="0" w:space="0" w:color="auto"/>
        <w:right w:val="none" w:sz="0" w:space="0" w:color="auto"/>
      </w:divBdr>
      <w:divsChild>
        <w:div w:id="190580292">
          <w:blockQuote w:val="1"/>
          <w:marLeft w:val="0"/>
          <w:marRight w:val="0"/>
          <w:marTop w:val="300"/>
          <w:marBottom w:val="450"/>
          <w:divBdr>
            <w:top w:val="none" w:sz="0" w:space="0" w:color="00457A"/>
            <w:left w:val="single" w:sz="36" w:space="15" w:color="00457A"/>
            <w:bottom w:val="none" w:sz="0" w:space="0" w:color="00457A"/>
            <w:right w:val="none" w:sz="0" w:space="0" w:color="00457A"/>
          </w:divBdr>
        </w:div>
      </w:divsChild>
    </w:div>
    <w:div w:id="2053991195">
      <w:bodyDiv w:val="1"/>
      <w:marLeft w:val="0"/>
      <w:marRight w:val="0"/>
      <w:marTop w:val="0"/>
      <w:marBottom w:val="0"/>
      <w:divBdr>
        <w:top w:val="none" w:sz="0" w:space="0" w:color="auto"/>
        <w:left w:val="none" w:sz="0" w:space="0" w:color="auto"/>
        <w:bottom w:val="none" w:sz="0" w:space="0" w:color="auto"/>
        <w:right w:val="none" w:sz="0" w:space="0" w:color="auto"/>
      </w:divBdr>
      <w:divsChild>
        <w:div w:id="1463886175">
          <w:marLeft w:val="0"/>
          <w:marRight w:val="0"/>
          <w:marTop w:val="0"/>
          <w:marBottom w:val="0"/>
          <w:divBdr>
            <w:top w:val="none" w:sz="0" w:space="0" w:color="auto"/>
            <w:left w:val="none" w:sz="0" w:space="0" w:color="auto"/>
            <w:bottom w:val="none" w:sz="0" w:space="0" w:color="auto"/>
            <w:right w:val="none" w:sz="0" w:space="0" w:color="auto"/>
          </w:divBdr>
        </w:div>
        <w:div w:id="1327592429">
          <w:marLeft w:val="0"/>
          <w:marRight w:val="0"/>
          <w:marTop w:val="0"/>
          <w:marBottom w:val="0"/>
          <w:divBdr>
            <w:top w:val="none" w:sz="0" w:space="0" w:color="auto"/>
            <w:left w:val="none" w:sz="0" w:space="0" w:color="auto"/>
            <w:bottom w:val="none" w:sz="0" w:space="0" w:color="auto"/>
            <w:right w:val="none" w:sz="0" w:space="0" w:color="auto"/>
          </w:divBdr>
          <w:divsChild>
            <w:div w:id="11986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3955">
      <w:bodyDiv w:val="1"/>
      <w:marLeft w:val="0"/>
      <w:marRight w:val="0"/>
      <w:marTop w:val="0"/>
      <w:marBottom w:val="0"/>
      <w:divBdr>
        <w:top w:val="none" w:sz="0" w:space="0" w:color="auto"/>
        <w:left w:val="none" w:sz="0" w:space="0" w:color="auto"/>
        <w:bottom w:val="none" w:sz="0" w:space="0" w:color="auto"/>
        <w:right w:val="none" w:sz="0" w:space="0" w:color="auto"/>
      </w:divBdr>
      <w:divsChild>
        <w:div w:id="1736126378">
          <w:marLeft w:val="0"/>
          <w:marRight w:val="0"/>
          <w:marTop w:val="0"/>
          <w:marBottom w:val="0"/>
          <w:divBdr>
            <w:top w:val="single" w:sz="2" w:space="0" w:color="auto"/>
            <w:left w:val="single" w:sz="2" w:space="0" w:color="auto"/>
            <w:bottom w:val="single" w:sz="6" w:space="0" w:color="auto"/>
            <w:right w:val="single" w:sz="2" w:space="0" w:color="auto"/>
          </w:divBdr>
          <w:divsChild>
            <w:div w:id="5552366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44757">
                  <w:marLeft w:val="0"/>
                  <w:marRight w:val="0"/>
                  <w:marTop w:val="0"/>
                  <w:marBottom w:val="0"/>
                  <w:divBdr>
                    <w:top w:val="single" w:sz="2" w:space="0" w:color="D9D9E3"/>
                    <w:left w:val="single" w:sz="2" w:space="0" w:color="D9D9E3"/>
                    <w:bottom w:val="single" w:sz="2" w:space="0" w:color="D9D9E3"/>
                    <w:right w:val="single" w:sz="2" w:space="0" w:color="D9D9E3"/>
                  </w:divBdr>
                  <w:divsChild>
                    <w:div w:id="1668678843">
                      <w:marLeft w:val="0"/>
                      <w:marRight w:val="0"/>
                      <w:marTop w:val="0"/>
                      <w:marBottom w:val="0"/>
                      <w:divBdr>
                        <w:top w:val="single" w:sz="2" w:space="0" w:color="D9D9E3"/>
                        <w:left w:val="single" w:sz="2" w:space="0" w:color="D9D9E3"/>
                        <w:bottom w:val="single" w:sz="2" w:space="0" w:color="D9D9E3"/>
                        <w:right w:val="single" w:sz="2" w:space="0" w:color="D9D9E3"/>
                      </w:divBdr>
                      <w:divsChild>
                        <w:div w:id="13577780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42296394">
          <w:marLeft w:val="0"/>
          <w:marRight w:val="0"/>
          <w:marTop w:val="0"/>
          <w:marBottom w:val="0"/>
          <w:divBdr>
            <w:top w:val="single" w:sz="2" w:space="0" w:color="auto"/>
            <w:left w:val="single" w:sz="2" w:space="0" w:color="auto"/>
            <w:bottom w:val="single" w:sz="6" w:space="0" w:color="auto"/>
            <w:right w:val="single" w:sz="2" w:space="0" w:color="auto"/>
          </w:divBdr>
          <w:divsChild>
            <w:div w:id="1627927165">
              <w:marLeft w:val="0"/>
              <w:marRight w:val="0"/>
              <w:marTop w:val="100"/>
              <w:marBottom w:val="100"/>
              <w:divBdr>
                <w:top w:val="single" w:sz="2" w:space="0" w:color="D9D9E3"/>
                <w:left w:val="single" w:sz="2" w:space="0" w:color="D9D9E3"/>
                <w:bottom w:val="single" w:sz="2" w:space="0" w:color="D9D9E3"/>
                <w:right w:val="single" w:sz="2" w:space="0" w:color="D9D9E3"/>
              </w:divBdr>
              <w:divsChild>
                <w:div w:id="76749825">
                  <w:marLeft w:val="0"/>
                  <w:marRight w:val="0"/>
                  <w:marTop w:val="0"/>
                  <w:marBottom w:val="0"/>
                  <w:divBdr>
                    <w:top w:val="single" w:sz="2" w:space="0" w:color="D9D9E3"/>
                    <w:left w:val="single" w:sz="2" w:space="0" w:color="D9D9E3"/>
                    <w:bottom w:val="single" w:sz="2" w:space="0" w:color="D9D9E3"/>
                    <w:right w:val="single" w:sz="2" w:space="0" w:color="D9D9E3"/>
                  </w:divBdr>
                  <w:divsChild>
                    <w:div w:id="872692366">
                      <w:marLeft w:val="0"/>
                      <w:marRight w:val="0"/>
                      <w:marTop w:val="0"/>
                      <w:marBottom w:val="0"/>
                      <w:divBdr>
                        <w:top w:val="single" w:sz="2" w:space="0" w:color="D9D9E3"/>
                        <w:left w:val="single" w:sz="2" w:space="0" w:color="D9D9E3"/>
                        <w:bottom w:val="single" w:sz="2" w:space="0" w:color="D9D9E3"/>
                        <w:right w:val="single" w:sz="2" w:space="0" w:color="D9D9E3"/>
                      </w:divBdr>
                      <w:divsChild>
                        <w:div w:id="1643467196">
                          <w:marLeft w:val="0"/>
                          <w:marRight w:val="0"/>
                          <w:marTop w:val="0"/>
                          <w:marBottom w:val="0"/>
                          <w:divBdr>
                            <w:top w:val="single" w:sz="2" w:space="0" w:color="D9D9E3"/>
                            <w:left w:val="single" w:sz="2" w:space="0" w:color="D9D9E3"/>
                            <w:bottom w:val="single" w:sz="2" w:space="0" w:color="D9D9E3"/>
                            <w:right w:val="single" w:sz="2" w:space="0" w:color="D9D9E3"/>
                          </w:divBdr>
                          <w:divsChild>
                            <w:div w:id="6206933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alaid.qld.gov.au/Find-legal-information/Personal-rights-and-safety/Human-Rights-Act-2019" TargetMode="External"/><Relationship Id="rId21" Type="http://schemas.openxmlformats.org/officeDocument/2006/relationships/hyperlink" Target="https://apo.org.au/sites/default/files/resource-files/2018-06/apo-nid178906.pdf" TargetMode="External"/><Relationship Id="rId42" Type="http://schemas.openxmlformats.org/officeDocument/2006/relationships/hyperlink" Target="https://tbinternet.ohchr.org/_layouts/15/treatybodyexternal/Download.aspx?symbolno=INT/CERD/GEC/7487&amp;Lang=en" TargetMode="External"/><Relationship Id="rId63" Type="http://schemas.openxmlformats.org/officeDocument/2006/relationships/hyperlink" Target="https://www.ag.gov.au/legal-system/legal-assistance-services" TargetMode="External"/><Relationship Id="rId84" Type="http://schemas.openxmlformats.org/officeDocument/2006/relationships/hyperlink" Target="https://7news.com.au/lifestyle/health-wellbeing/covid-19-vaccine-opponents-slapped-with-214000-in-legal-costs-after-failed-lawsuit-c-8065857" TargetMode="External"/><Relationship Id="rId138" Type="http://schemas.openxmlformats.org/officeDocument/2006/relationships/hyperlink" Target="http://www.qhrc.qld.gov.au/contactus" TargetMode="External"/><Relationship Id="rId159" Type="http://schemas.openxmlformats.org/officeDocument/2006/relationships/image" Target="media/image12.png"/><Relationship Id="rId107" Type="http://schemas.openxmlformats.org/officeDocument/2006/relationships/hyperlink" Target="https://www.legalaid.qld.gov.au/Find-legal-information/Relationships-and-children/Domestic-and-family-violence/Elder-abuse?BestBetMatch=elder%20abuse|33642ca2-1ee0-427b-938e-96024c6f8bda|0a4b0d77-1b6c-4201-871e-25d5b0944cb0|en-AU" TargetMode="External"/><Relationship Id="rId11" Type="http://schemas.openxmlformats.org/officeDocument/2006/relationships/hyperlink" Target="https://www.alrc.gov.au/publication/traditional-rights-and-freedoms-encroachments-by-commonwealth-laws-alrc-report-129/4-freedom-of-speech/" TargetMode="External"/><Relationship Id="rId32" Type="http://schemas.openxmlformats.org/officeDocument/2006/relationships/hyperlink" Target="https://www.ag.gov.au/rights-and-protections/human-rights-and-anti-discrimination/human-rights-scrutiny/public-sector-guidance-sheets/right-freedom-opinion-and-expression" TargetMode="External"/><Relationship Id="rId53" Type="http://schemas.openxmlformats.org/officeDocument/2006/relationships/hyperlink" Target="https://www.ag.gov.au/rights-and-protections/human-rights-and-anti-discrimination/human-rights-scrutiny/public-sector-guidance-sheets/minimum-guarantees-criminal-proceedings" TargetMode="External"/><Relationship Id="rId74" Type="http://schemas.openxmlformats.org/officeDocument/2006/relationships/image" Target="media/image4.png"/><Relationship Id="rId128" Type="http://schemas.openxmlformats.org/officeDocument/2006/relationships/hyperlink" Target="https://www.qhrc.qld.gov.au/your-rights/human-rights-law" TargetMode="External"/><Relationship Id="rId149" Type="http://schemas.openxmlformats.org/officeDocument/2006/relationships/hyperlink" Target="https://www.allens.com.au/insights-news/insights/2021/11/class-actions-in-australia/" TargetMode="External"/><Relationship Id="rId5" Type="http://schemas.openxmlformats.org/officeDocument/2006/relationships/footnotes" Target="footnotes.xml"/><Relationship Id="rId95" Type="http://schemas.openxmlformats.org/officeDocument/2006/relationships/hyperlink" Target="https://cairnsnews.org/2023/03/11/university-law-school-tries-to-head-off-milestone-covid-litigation-conference-covid-lawsuits-the-next-growth-industry/" TargetMode="External"/><Relationship Id="rId160" Type="http://schemas.openxmlformats.org/officeDocument/2006/relationships/image" Target="media/image13.png"/><Relationship Id="rId22" Type="http://schemas.openxmlformats.org/officeDocument/2006/relationships/hyperlink" Target="https://www.dfat.gov.au/international-relations/international-organisations/un/unhrc-2018-2020/Pages/australias-membership-unhrc-2018-2020" TargetMode="External"/><Relationship Id="rId43" Type="http://schemas.openxmlformats.org/officeDocument/2006/relationships/hyperlink" Target="http://www.austlii.edu.au/au/cases/cth/HCA/1992/45.html" TargetMode="External"/><Relationship Id="rId64" Type="http://schemas.openxmlformats.org/officeDocument/2006/relationships/hyperlink" Target="http://www.austlii.edu.au/au/cases/cth/HCA/1992/57.html" TargetMode="External"/><Relationship Id="rId118" Type="http://schemas.openxmlformats.org/officeDocument/2006/relationships/hyperlink" Target="https://www.qhrc.qld.gov.au/complaints/" TargetMode="External"/><Relationship Id="rId139" Type="http://schemas.openxmlformats.org/officeDocument/2006/relationships/hyperlink" Target="http://www.caxton.org.au/" TargetMode="External"/><Relationship Id="rId85" Type="http://schemas.openxmlformats.org/officeDocument/2006/relationships/hyperlink" Target="https://www.supremecourt.vic.gov.au/areas/group-proceedings/covid-19-state-government-business-losses" TargetMode="External"/><Relationship Id="rId150" Type="http://schemas.openxmlformats.org/officeDocument/2006/relationships/hyperlink" Target="https://www.allens.com.au/insights-news/insights/2021/11/class-actions-in-australia/" TargetMode="External"/><Relationship Id="rId12" Type="http://schemas.openxmlformats.org/officeDocument/2006/relationships/hyperlink" Target="https://www.google.com/search?q=legal+aid+queensland+head+office+brisbane+city+address&amp;ludocid=15467812835979067412&amp;sa=X&amp;ved=2ahUKEwjkw7nUof39AhUA-jgGHUTiDCAQ6BN6BAhqEAI" TargetMode="External"/><Relationship Id="rId17" Type="http://schemas.openxmlformats.org/officeDocument/2006/relationships/hyperlink" Target="mailto:izak@izak.co.za" TargetMode="External"/><Relationship Id="rId33" Type="http://schemas.openxmlformats.org/officeDocument/2006/relationships/hyperlink" Target="https://www.ag.gov.au/rights-and-protections/human-rights-and-anti-discrimination/human-rights-scrutiny/public-sector-guidance-sheets/right-freedom-opinion-and-expression" TargetMode="External"/><Relationship Id="rId38" Type="http://schemas.openxmlformats.org/officeDocument/2006/relationships/hyperlink" Target="https://www.ag.gov.au/rights-and-protections/human-rights-and-anti-discrimination/human-rights-scrutiny/public-sector-guidance-sheets/right-freedom-opinion-and-expression" TargetMode="External"/><Relationship Id="rId59" Type="http://schemas.openxmlformats.org/officeDocument/2006/relationships/hyperlink" Target="http://www.info.dfat.gov.au/Info/Treaties/treaties.nsf/AllDocIDs/E123F4F71DCAE3E7CA256B4F007F2905" TargetMode="External"/><Relationship Id="rId103" Type="http://schemas.openxmlformats.org/officeDocument/2006/relationships/hyperlink" Target="tel:1300%2065%2011%2088" TargetMode="External"/><Relationship Id="rId108" Type="http://schemas.openxmlformats.org/officeDocument/2006/relationships/hyperlink" Target="https://www.legalaid.qld.gov.au/Find-legal-information/Personal-rights-and-safety/Protecting-sexual-assault-counselling-records" TargetMode="External"/><Relationship Id="rId124" Type="http://schemas.openxmlformats.org/officeDocument/2006/relationships/hyperlink" Target="https://www.legalaid.qld.gov.au/System-Pages/Disclaimer" TargetMode="External"/><Relationship Id="rId129" Type="http://schemas.openxmlformats.org/officeDocument/2006/relationships/hyperlink" Target="https://www.qhrc.qld.gov.au/contactus" TargetMode="External"/><Relationship Id="rId54" Type="http://schemas.openxmlformats.org/officeDocument/2006/relationships/hyperlink" Target="https://www.ag.gov.au/rights-and-protections/human-rights-and-anti-discrimination/human-rights-scrutiny/public-sector-guidance-sheets/minimum-guarantees-criminal-proceedings" TargetMode="External"/><Relationship Id="rId70" Type="http://schemas.openxmlformats.org/officeDocument/2006/relationships/image" Target="media/image3.png"/><Relationship Id="rId75" Type="http://schemas.openxmlformats.org/officeDocument/2006/relationships/hyperlink" Target="https://actiopopularis.weebly.com/evidence.html" TargetMode="External"/><Relationship Id="rId91" Type="http://schemas.openxmlformats.org/officeDocument/2006/relationships/hyperlink" Target="https://www.murphys-law.com.au/compensation/covid-vaccine-injury-compensation/" TargetMode="External"/><Relationship Id="rId96" Type="http://schemas.openxmlformats.org/officeDocument/2006/relationships/hyperlink" Target="https://cairnsnews.org/author/cairnsnews/" TargetMode="External"/><Relationship Id="rId140" Type="http://schemas.openxmlformats.org/officeDocument/2006/relationships/hyperlink" Target="http://www.brq.org.au/" TargetMode="External"/><Relationship Id="rId145" Type="http://schemas.openxmlformats.org/officeDocument/2006/relationships/hyperlink" Target="http://www/" TargetMode="External"/><Relationship Id="rId161" Type="http://schemas.openxmlformats.org/officeDocument/2006/relationships/hyperlink" Target="https://www.justanswer.com/sip/ex-parte?r=ppc|ga|1|||&amp;JPKW=ex%20parte&amp;JPDC=S&amp;JPST=&amp;JPAD=527039598695&amp;JPMT=p&amp;JPNW=g&amp;JPAF=txt&amp;JPRC=1&amp;JPCD=&amp;JPOP=&amp;cmpid=18717049438&amp;agid=148074535132&amp;fiid=&amp;tgtid=kwd-832565852&amp;ntw=g&amp;dvc=c&amp;cmpid=18717049438&amp;agid=148074535132&amp;fiid=&amp;tgtid=kwd-832565852&amp;ntw=g&amp;dvc=c"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g.gov.au/rights-and-protections/human-rights-and-anti-discrimination/human-rights-scrutiny/public-sector-guidance-sheets/right-freedom-opinion-and-expression" TargetMode="External"/><Relationship Id="rId28" Type="http://schemas.openxmlformats.org/officeDocument/2006/relationships/hyperlink" Target="https://www.ag.gov.au/rights-and-protections/human-rights-and-anti-discrimination/human-rights-scrutiny/public-sector-guidance-sheets/right-freedom-opinion-and-expression" TargetMode="External"/><Relationship Id="rId49" Type="http://schemas.openxmlformats.org/officeDocument/2006/relationships/hyperlink" Target="https://www.ag.gov.au/rights-and-protections/human-rights-and-anti-discrimination/human-rights-scrutiny/public-sector-guidance-sheets/minimum-guarantees-criminal-proceedings" TargetMode="External"/><Relationship Id="rId114" Type="http://schemas.openxmlformats.org/officeDocument/2006/relationships/hyperlink" Target="https://www.youtube.com/user/AusLawReform" TargetMode="External"/><Relationship Id="rId119" Type="http://schemas.openxmlformats.org/officeDocument/2006/relationships/hyperlink" Target="https://www.qhrc.qld.gov.au/complaints/" TargetMode="External"/><Relationship Id="rId44" Type="http://schemas.openxmlformats.org/officeDocument/2006/relationships/hyperlink" Target="http://www.austlii.edu.au/au/cases/cth/HCA/2004/39.html" TargetMode="External"/><Relationship Id="rId60" Type="http://schemas.openxmlformats.org/officeDocument/2006/relationships/hyperlink" Target="https://www.ag.gov.au/node/1437" TargetMode="External"/><Relationship Id="rId65" Type="http://schemas.openxmlformats.org/officeDocument/2006/relationships/hyperlink" Target="http://www.austlii.edu.au/au/cases/cth/HCA/1983/10.html" TargetMode="External"/><Relationship Id="rId81" Type="http://schemas.openxmlformats.org/officeDocument/2006/relationships/hyperlink" Target="https://9now.nine.com.au/a-current-affair/coronavirus-class-actions-against-victoria-government/43c25f33-2c3a-49e6-9c02-1cc489cfe865" TargetMode="External"/><Relationship Id="rId86" Type="http://schemas.openxmlformats.org/officeDocument/2006/relationships/hyperlink" Target="https://www.news.com.au/national/the-major-problem-with-covid19-vaccine-compensation-claims/news-story/39b052c5ec6abd11ff933659d309a20f" TargetMode="External"/><Relationship Id="rId130" Type="http://schemas.openxmlformats.org/officeDocument/2006/relationships/hyperlink" Target="https://www.qhrc.qld.gov.au/complaints/making-a-complaint" TargetMode="External"/><Relationship Id="rId135" Type="http://schemas.openxmlformats.org/officeDocument/2006/relationships/hyperlink" Target="https://www.qhrc.qld.gov.au/__data/assets/pdf_file/0010/19819/QHRC_factsheet_Complaints_MakingAComplaint.pdf" TargetMode="External"/><Relationship Id="rId151" Type="http://schemas.openxmlformats.org/officeDocument/2006/relationships/hyperlink" Target="https://www.allens.com.au/insights-news/insights/2021/11/class-actions-in-australia/" TargetMode="External"/><Relationship Id="rId156" Type="http://schemas.openxmlformats.org/officeDocument/2006/relationships/hyperlink" Target="https://www.allens.com.au/insights-news/insights/2021/11/class-actions-in-australia/" TargetMode="External"/><Relationship Id="rId13" Type="http://schemas.openxmlformats.org/officeDocument/2006/relationships/hyperlink" Target="https://www.google.com/search?q=legal+aid+queensland+head+office+brisbane+city+phone&amp;ludocid=15467812835979067412&amp;sa=X&amp;ved=2ahUKEwjkw7nUof39AhUA-jgGHUTiDCAQ6BN6BAhjEAI" TargetMode="External"/><Relationship Id="rId18" Type="http://schemas.openxmlformats.org/officeDocument/2006/relationships/hyperlink" Target="http://www.irff.online" TargetMode="External"/><Relationship Id="rId39" Type="http://schemas.openxmlformats.org/officeDocument/2006/relationships/hyperlink" Target="http://www2.ohchr.org/english/bodies/treaty/index.htm" TargetMode="External"/><Relationship Id="rId109" Type="http://schemas.openxmlformats.org/officeDocument/2006/relationships/hyperlink" Target="https://www.legalaid.qld.gov.au/Find-legal-information/Personal-rights-and-safety/Safety/Threats-abuse-and-harassment?BestBetMatch=peace|33642ca2-1ee0-427b-938e-96024c6f8bda|0a4b0d77-1b6c-4201-871e-25d5b0944cb0|en-AU" TargetMode="External"/><Relationship Id="rId34" Type="http://schemas.openxmlformats.org/officeDocument/2006/relationships/hyperlink" Target="http://www.info.dfat.gov.au/Info/Treaties/treaties.nsf/AllDocIDs/8B8C6AF11AFB4971CA256B6E0075FE1E" TargetMode="External"/><Relationship Id="rId50" Type="http://schemas.openxmlformats.org/officeDocument/2006/relationships/hyperlink" Target="https://www.ag.gov.au/rights-and-protections/human-rights-and-anti-discrimination/human-rights-scrutiny/public-sector-guidance-sheets/minimum-guarantees-criminal-proceedings" TargetMode="External"/><Relationship Id="rId55" Type="http://schemas.openxmlformats.org/officeDocument/2006/relationships/hyperlink" Target="https://www.ag.gov.au/rights-and-protections/human-rights-and-anti-discrimination/human-rights-scrutiny/public-sector-guidance-sheets/minimum-guarantees-criminal-proceedings" TargetMode="External"/><Relationship Id="rId76" Type="http://schemas.openxmlformats.org/officeDocument/2006/relationships/hyperlink" Target="https://actiopopularis.weebly.com/application-and-arguments.html" TargetMode="External"/><Relationship Id="rId97" Type="http://schemas.openxmlformats.org/officeDocument/2006/relationships/hyperlink" Target="https://cairnsnews.org/2023/03/11/university-law-school-tries-to-head-off-milestone-covid-litigation-conference-covid-lawsuits-the-next-growth-industry/" TargetMode="External"/><Relationship Id="rId104" Type="http://schemas.openxmlformats.org/officeDocument/2006/relationships/hyperlink" Target="https://www.legalaid.qld.gov.au/Find-legal-information/Personal-rights-and-safety/Discrimination-and-sexual-harassment" TargetMode="External"/><Relationship Id="rId120" Type="http://schemas.openxmlformats.org/officeDocument/2006/relationships/hyperlink" Target="https://www.legalaid.qld.gov.au/About-us/Contact-us" TargetMode="External"/><Relationship Id="rId125" Type="http://schemas.openxmlformats.org/officeDocument/2006/relationships/hyperlink" Target="https://qai.org.au/2020/07/12/know-your-human-rights-booklet/" TargetMode="External"/><Relationship Id="rId141" Type="http://schemas.openxmlformats.org/officeDocument/2006/relationships/hyperlink" Target="http://www.qai.org.au/" TargetMode="External"/><Relationship Id="rId146" Type="http://schemas.openxmlformats.org/officeDocument/2006/relationships/hyperlink" Target="http://www.qhrc.qld.gov.au/resources/fact-sheets" TargetMode="External"/><Relationship Id="rId167" Type="http://schemas.openxmlformats.org/officeDocument/2006/relationships/theme" Target="theme/theme1.xml"/><Relationship Id="rId7" Type="http://schemas.openxmlformats.org/officeDocument/2006/relationships/hyperlink" Target="https://www.nationallegalaid.org/" TargetMode="External"/><Relationship Id="rId71" Type="http://schemas.openxmlformats.org/officeDocument/2006/relationships/hyperlink" Target="https://www.ruleoflaw.org.au/did-democracy-die-during-the-pandemic/" TargetMode="External"/><Relationship Id="rId92" Type="http://schemas.openxmlformats.org/officeDocument/2006/relationships/hyperlink" Target="https://www.health.gov.au/our-work/covid-19-vaccine-claims-scheme" TargetMode="External"/><Relationship Id="rId16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hyperlink" Target="https://www.ag.gov.au/rights-and-protections/human-rights-and-anti-discrimination/human-rights-scrutiny/public-sector-guidance-sheets/right-freedom-opinion-and-expression" TargetMode="External"/><Relationship Id="rId24" Type="http://schemas.openxmlformats.org/officeDocument/2006/relationships/hyperlink" Target="https://www.ag.gov.au/rights-and-protections/human-rights-and-anti-discrimination/human-rights-scrutiny/public-sector-guidance-sheets/right-freedom-opinion-and-expression" TargetMode="External"/><Relationship Id="rId40" Type="http://schemas.openxmlformats.org/officeDocument/2006/relationships/hyperlink" Target="http://www2.ohchr.org/english/bodies/hrc/docs/gc34.pdf" TargetMode="External"/><Relationship Id="rId45" Type="http://schemas.openxmlformats.org/officeDocument/2006/relationships/hyperlink" Target="http://www.alrc.gov.au/inquiries/sedition" TargetMode="External"/><Relationship Id="rId66" Type="http://schemas.openxmlformats.org/officeDocument/2006/relationships/hyperlink" Target="https://www.oaic.gov.au/2022/privacy/australian-privacy-principles" TargetMode="External"/><Relationship Id="rId87" Type="http://schemas.openxmlformats.org/officeDocument/2006/relationships/hyperlink" Target="https://www.sydneycriminallawyers.com.au/blog/covid-19-vaccine-injuries-have-largely-been-ignored/" TargetMode="External"/><Relationship Id="rId110" Type="http://schemas.openxmlformats.org/officeDocument/2006/relationships/hyperlink" Target="tel:+61732481224" TargetMode="External"/><Relationship Id="rId115" Type="http://schemas.openxmlformats.org/officeDocument/2006/relationships/hyperlink" Target="https://www.legislation.qld.gov.au/view/html/inforce/current/act-2019-005" TargetMode="External"/><Relationship Id="rId131" Type="http://schemas.openxmlformats.org/officeDocument/2006/relationships/hyperlink" Target="https://www.qhrc.qld.gov.au/complaints/responding-to-a-complaint" TargetMode="External"/><Relationship Id="rId136" Type="http://schemas.openxmlformats.org/officeDocument/2006/relationships/image" Target="media/image10.jpeg"/><Relationship Id="rId157" Type="http://schemas.openxmlformats.org/officeDocument/2006/relationships/hyperlink" Target="https://www.allens.com.au/insights-news/insights/2021/11/class-actions-in-australia/" TargetMode="External"/><Relationship Id="rId61" Type="http://schemas.openxmlformats.org/officeDocument/2006/relationships/hyperlink" Target="http://www2.ohchr.org/english/bodies/treaty/index.htm" TargetMode="External"/><Relationship Id="rId82" Type="http://schemas.openxmlformats.org/officeDocument/2006/relationships/hyperlink" Target="https://7news.com.au/profile/aap" TargetMode="External"/><Relationship Id="rId152" Type="http://schemas.openxmlformats.org/officeDocument/2006/relationships/hyperlink" Target="https://www.allens.com.au/insights-news/insights/2021/11/class-actions-in-australia/" TargetMode="External"/><Relationship Id="rId19" Type="http://schemas.openxmlformats.org/officeDocument/2006/relationships/image" Target="media/image1.png"/><Relationship Id="rId14" Type="http://schemas.openxmlformats.org/officeDocument/2006/relationships/hyperlink" Target="https://www.google.com/search?q=Access+legal+aid+in+Australia&amp;oq=Access+legal+aid+in+Australia&amp;aqs=chrome..69i57.7744j0j1&amp;sourceid=chrome&amp;ie=UTF-8" TargetMode="External"/><Relationship Id="rId30" Type="http://schemas.openxmlformats.org/officeDocument/2006/relationships/hyperlink" Target="https://www.ag.gov.au/rights-and-protections/human-rights-and-anti-discrimination/human-rights-scrutiny/public-sector-guidance-sheets/right-freedom-opinion-and-expression" TargetMode="External"/><Relationship Id="rId35" Type="http://schemas.openxmlformats.org/officeDocument/2006/relationships/hyperlink" Target="http://www.info.dfat.gov.au/Info/Treaties/treaties.nsf/AllDocIDs/2F70352A0B65EB67CA256B6E0075FE13" TargetMode="External"/><Relationship Id="rId56" Type="http://schemas.openxmlformats.org/officeDocument/2006/relationships/hyperlink" Target="http://www.info.dfat.gov.au/Info/Treaties/treaties.nsf/AllDocIDs/8B8C6AF11AFB4971CA256B6E0075FE1E" TargetMode="External"/><Relationship Id="rId77" Type="http://schemas.openxmlformats.org/officeDocument/2006/relationships/hyperlink" Target="https://actiopopularis.weebly.com/" TargetMode="External"/><Relationship Id="rId100" Type="http://schemas.openxmlformats.org/officeDocument/2006/relationships/image" Target="media/image7.png"/><Relationship Id="rId105" Type="http://schemas.openxmlformats.org/officeDocument/2006/relationships/hyperlink" Target="https://www.legalaid.qld.gov.au/Find-legal-information/Personal-rights-and-safety/Human-Rights-Act-2019" TargetMode="External"/><Relationship Id="rId126" Type="http://schemas.openxmlformats.org/officeDocument/2006/relationships/image" Target="media/image9.png"/><Relationship Id="rId147" Type="http://schemas.openxmlformats.org/officeDocument/2006/relationships/hyperlink" Target="http://www.qhrc.qld.gov.au/privacy" TargetMode="External"/><Relationship Id="rId8" Type="http://schemas.openxmlformats.org/officeDocument/2006/relationships/hyperlink" Target="https://www.lawaccess.nsw.gov.au/" TargetMode="External"/><Relationship Id="rId51" Type="http://schemas.openxmlformats.org/officeDocument/2006/relationships/hyperlink" Target="https://www.ag.gov.au/rights-and-protections/human-rights-and-anti-discrimination/human-rights-scrutiny/public-sector-guidance-sheets/minimum-guarantees-criminal-proceedings" TargetMode="External"/><Relationship Id="rId72" Type="http://schemas.openxmlformats.org/officeDocument/2006/relationships/hyperlink" Target="https://stevekirsch.substack.com/p/covid-litigation-lawyer-directory?publication_id=548354&amp;post_id=105960994&amp;isFreemail=true" TargetMode="External"/><Relationship Id="rId93" Type="http://schemas.openxmlformats.org/officeDocument/2006/relationships/image" Target="media/image6.png"/><Relationship Id="rId98" Type="http://schemas.openxmlformats.org/officeDocument/2006/relationships/hyperlink" Target="https://www.abc.net.au/news/talissa-siganto/9290322" TargetMode="External"/><Relationship Id="rId121" Type="http://schemas.openxmlformats.org/officeDocument/2006/relationships/hyperlink" Target="https://www.qhrc.qld.gov.au/" TargetMode="External"/><Relationship Id="rId142" Type="http://schemas.openxmlformats.org/officeDocument/2006/relationships/hyperlink" Target="http://www.cclc.org.au/" TargetMode="External"/><Relationship Id="rId163" Type="http://schemas.openxmlformats.org/officeDocument/2006/relationships/image" Target="media/image15.png"/><Relationship Id="rId3" Type="http://schemas.openxmlformats.org/officeDocument/2006/relationships/settings" Target="settings.xml"/><Relationship Id="rId25" Type="http://schemas.openxmlformats.org/officeDocument/2006/relationships/hyperlink" Target="https://www.ag.gov.au/rights-and-protections/human-rights-and-anti-discrimination/human-rights-scrutiny/public-sector-guidance-sheets/right-freedom-opinion-and-expression" TargetMode="External"/><Relationship Id="rId46" Type="http://schemas.openxmlformats.org/officeDocument/2006/relationships/hyperlink" Target="http://www.classification.gov.au/" TargetMode="External"/><Relationship Id="rId67" Type="http://schemas.openxmlformats.org/officeDocument/2006/relationships/hyperlink" Target="https://www.ruleoflaw.org.au/priorities/checks-and-balances/" TargetMode="External"/><Relationship Id="rId116" Type="http://schemas.openxmlformats.org/officeDocument/2006/relationships/hyperlink" Target="https://www.qhrc.qld.gov.au/your-rights/human-rights-law" TargetMode="External"/><Relationship Id="rId137" Type="http://schemas.openxmlformats.org/officeDocument/2006/relationships/footer" Target="footer1.xml"/><Relationship Id="rId158" Type="http://schemas.openxmlformats.org/officeDocument/2006/relationships/hyperlink" Target="https://www.allens.com.au/insights-news/insights/2021/11/class-actions-in-australia/" TargetMode="External"/><Relationship Id="rId20" Type="http://schemas.openxmlformats.org/officeDocument/2006/relationships/hyperlink" Target="https://www.dfat.gov.au/international-relations/themes/human-rights" TargetMode="External"/><Relationship Id="rId41" Type="http://schemas.openxmlformats.org/officeDocument/2006/relationships/hyperlink" Target="https://tbinternet.ohchr.org/_layouts/15/treatybodyexternal/Download.aspx?symbolno=INT/CCPR/GEC/4720&amp;Lang=en" TargetMode="External"/><Relationship Id="rId62" Type="http://schemas.openxmlformats.org/officeDocument/2006/relationships/hyperlink" Target="http://tbinternet.ohchr.org/_layouts/treatybodyexternal/Download.aspx?symbolno=CCPR/C/GC/32&amp;Lang=en" TargetMode="External"/><Relationship Id="rId83" Type="http://schemas.openxmlformats.org/officeDocument/2006/relationships/hyperlink" Target="https://7news.com.au/lifestyle/health-wellbeing" TargetMode="External"/><Relationship Id="rId88" Type="http://schemas.openxmlformats.org/officeDocument/2006/relationships/hyperlink" Target="https://www.sydneycriminallawyers.com.au/blog/author/sonia-hickey/" TargetMode="External"/><Relationship Id="rId111" Type="http://schemas.openxmlformats.org/officeDocument/2006/relationships/hyperlink" Target="mailto:info@alrc.gov.au" TargetMode="External"/><Relationship Id="rId132" Type="http://schemas.openxmlformats.org/officeDocument/2006/relationships/hyperlink" Target="https://www.qhrc.qld.gov.au/complaints/lodge-your-complaint-online" TargetMode="External"/><Relationship Id="rId153" Type="http://schemas.openxmlformats.org/officeDocument/2006/relationships/hyperlink" Target="https://www.allens.com.au/insights-news/insights/2021/11/class-actions-in-australia/" TargetMode="External"/><Relationship Id="rId15" Type="http://schemas.openxmlformats.org/officeDocument/2006/relationships/hyperlink" Target="https://www.legalaid.qld.gov.au/Home" TargetMode="External"/><Relationship Id="rId36" Type="http://schemas.openxmlformats.org/officeDocument/2006/relationships/hyperlink" Target="http://www.info.dfat.gov.au/Info/Treaties/treaties.nsf/AllDocIDs/E123F4F71DCAE3E7CA256B4F007F2905" TargetMode="External"/><Relationship Id="rId57" Type="http://schemas.openxmlformats.org/officeDocument/2006/relationships/hyperlink" Target="https://www.ag.gov.au/node/1424" TargetMode="External"/><Relationship Id="rId106" Type="http://schemas.openxmlformats.org/officeDocument/2006/relationships/hyperlink" Target="https://www.legalaid.qld.gov.au/Find-legal-information/Personal-rights-and-safety/Health-and-medical/Mental-health-and-wellbeing" TargetMode="External"/><Relationship Id="rId127" Type="http://schemas.openxmlformats.org/officeDocument/2006/relationships/hyperlink" Target="https://www.qhrc.qld.gov.au/your-rights/discrimination-law" TargetMode="External"/><Relationship Id="rId10" Type="http://schemas.openxmlformats.org/officeDocument/2006/relationships/hyperlink" Target="https://www.qhrc.qld.gov.au/complaints" TargetMode="External"/><Relationship Id="rId31" Type="http://schemas.openxmlformats.org/officeDocument/2006/relationships/hyperlink" Target="https://www.ag.gov.au/rights-and-protections/human-rights-and-anti-discrimination/human-rights-scrutiny/public-sector-guidance-sheets/right-freedom-opinion-and-expression" TargetMode="External"/><Relationship Id="rId52" Type="http://schemas.openxmlformats.org/officeDocument/2006/relationships/hyperlink" Target="https://www.ag.gov.au/rights-and-protections/human-rights-and-anti-discrimination/human-rights-scrutiny/public-sector-guidance-sheets/minimum-guarantees-criminal-proceedings" TargetMode="External"/><Relationship Id="rId73" Type="http://schemas.openxmlformats.org/officeDocument/2006/relationships/hyperlink" Target="https://stevekirsch.substack.com/p/covid-litigation-lawyer-directory?publication_id=548354&amp;post_id=105960994&amp;isFreemail=true" TargetMode="External"/><Relationship Id="rId78" Type="http://schemas.openxmlformats.org/officeDocument/2006/relationships/hyperlink" Target="https://www.business-humanrights.org/en/latest-news/law-firm-predicts-increase-in-class-action-litigation-for-covid-19-abuses/" TargetMode="External"/><Relationship Id="rId94" Type="http://schemas.openxmlformats.org/officeDocument/2006/relationships/hyperlink" Target="https://www.sydney.edu.au/news-opinion/news/2020/10/20/who-pays-compensation-if-a-covid19-vaccine-has-rare-side-effects.html" TargetMode="External"/><Relationship Id="rId99" Type="http://schemas.openxmlformats.org/officeDocument/2006/relationships/hyperlink" Target="https://www.abc.net.au/news/2022-05-30/qld-coronavirus-covid19-vaccine-mandate-court-challenge/101110802" TargetMode="External"/><Relationship Id="rId101" Type="http://schemas.openxmlformats.org/officeDocument/2006/relationships/image" Target="media/image8.png"/><Relationship Id="rId122" Type="http://schemas.openxmlformats.org/officeDocument/2006/relationships/hyperlink" Target="https://www.qld.gov.au/law/your-rights/human-rights" TargetMode="External"/><Relationship Id="rId143" Type="http://schemas.openxmlformats.org/officeDocument/2006/relationships/hyperlink" Target="http://www.townsvillecommunity.law/" TargetMode="External"/><Relationship Id="rId148" Type="http://schemas.openxmlformats.org/officeDocument/2006/relationships/image" Target="media/image11.png"/><Relationship Id="rId164" Type="http://schemas.openxmlformats.org/officeDocument/2006/relationships/hyperlink" Target="http://www.izak.co.za" TargetMode="External"/><Relationship Id="rId4" Type="http://schemas.openxmlformats.org/officeDocument/2006/relationships/webSettings" Target="webSettings.xml"/><Relationship Id="rId9" Type="http://schemas.openxmlformats.org/officeDocument/2006/relationships/hyperlink" Target="https://www.naclc.org.au/" TargetMode="External"/><Relationship Id="rId26" Type="http://schemas.openxmlformats.org/officeDocument/2006/relationships/hyperlink" Target="https://www.ag.gov.au/rights-and-protections/human-rights-and-anti-discrimination/human-rights-scrutiny/public-sector-guidance-sheets/right-freedom-opinion-and-expression" TargetMode="External"/><Relationship Id="rId47" Type="http://schemas.openxmlformats.org/officeDocument/2006/relationships/hyperlink" Target="https://www.ag.gov.au/rights-and-protections/human-rights-and-anti-discrimination/human-rights-scrutiny/public-sector-guidance-sheets/minimum-guarantees-criminal-proceedings" TargetMode="External"/><Relationship Id="rId68" Type="http://schemas.openxmlformats.org/officeDocument/2006/relationships/image" Target="media/image2.png"/><Relationship Id="rId89" Type="http://schemas.openxmlformats.org/officeDocument/2006/relationships/hyperlink" Target="https://www.sydneycriminallawyers.com.au/blog/covid-19-vaccine-injuries-have-largely-been-ignored/" TargetMode="External"/><Relationship Id="rId112" Type="http://schemas.openxmlformats.org/officeDocument/2006/relationships/hyperlink" Target="https://twitter.com/AusLawReform" TargetMode="External"/><Relationship Id="rId133" Type="http://schemas.openxmlformats.org/officeDocument/2006/relationships/hyperlink" Target="https://www.qhrc.qld.gov.au/complaints/for-advocates" TargetMode="External"/><Relationship Id="rId154" Type="http://schemas.openxmlformats.org/officeDocument/2006/relationships/hyperlink" Target="https://www.allens.com.au/insights-news/insights/2021/11/class-actions-in-australia/" TargetMode="External"/><Relationship Id="rId16" Type="http://schemas.openxmlformats.org/officeDocument/2006/relationships/hyperlink" Target="https://www.communitylegalqld.org.au/legal-help/caxton-legal-centre/" TargetMode="External"/><Relationship Id="rId37" Type="http://schemas.openxmlformats.org/officeDocument/2006/relationships/hyperlink" Target="http://www.info.dfat.gov.au/Info/Treaties/treaties.nsf/AllDocIDs/636560118784755BCA25726C0007D2AC" TargetMode="External"/><Relationship Id="rId58" Type="http://schemas.openxmlformats.org/officeDocument/2006/relationships/hyperlink" Target="https://www.ag.gov.au/node/1425" TargetMode="External"/><Relationship Id="rId79" Type="http://schemas.openxmlformats.org/officeDocument/2006/relationships/hyperlink" Target="https://www.9news.com.au/meet-the-team/digital/serena-seyfort" TargetMode="External"/><Relationship Id="rId102" Type="http://schemas.openxmlformats.org/officeDocument/2006/relationships/hyperlink" Target="https://www.communitylegalqld.org.au/legal-help/caxton-legal-centre/" TargetMode="External"/><Relationship Id="rId123" Type="http://schemas.openxmlformats.org/officeDocument/2006/relationships/hyperlink" Target="https://www.legalaid.qld.gov.au/System-Pages/Contact-us" TargetMode="External"/><Relationship Id="rId144" Type="http://schemas.openxmlformats.org/officeDocument/2006/relationships/hyperlink" Target="http://www.communitylegalqld.org.au/" TargetMode="External"/><Relationship Id="rId90" Type="http://schemas.openxmlformats.org/officeDocument/2006/relationships/image" Target="media/image5.png"/><Relationship Id="rId165" Type="http://schemas.openxmlformats.org/officeDocument/2006/relationships/footer" Target="footer2.xml"/><Relationship Id="rId27" Type="http://schemas.openxmlformats.org/officeDocument/2006/relationships/hyperlink" Target="https://www.ag.gov.au/rights-and-protections/human-rights-and-anti-discrimination/human-rights-scrutiny/public-sector-guidance-sheets/right-freedom-opinion-and-expression" TargetMode="External"/><Relationship Id="rId48" Type="http://schemas.openxmlformats.org/officeDocument/2006/relationships/hyperlink" Target="https://www.ag.gov.au/rights-and-protections/human-rights-and-anti-discrimination/human-rights-scrutiny/public-sector-guidance-sheets/minimum-guarantees-criminal-proceedings" TargetMode="External"/><Relationship Id="rId69" Type="http://schemas.openxmlformats.org/officeDocument/2006/relationships/hyperlink" Target="https://www.ruleoflaw.org.au/victorian-pandemic-management-bill/" TargetMode="External"/><Relationship Id="rId113" Type="http://schemas.openxmlformats.org/officeDocument/2006/relationships/hyperlink" Target="https://au.linkedin.com/company/alrc" TargetMode="External"/><Relationship Id="rId134" Type="http://schemas.openxmlformats.org/officeDocument/2006/relationships/hyperlink" Target="https://www.qhrc.qld.gov.au/complaints/report-racism" TargetMode="External"/><Relationship Id="rId80" Type="http://schemas.openxmlformats.org/officeDocument/2006/relationships/hyperlink" Target="https://www.9news.com.au/national/class-action-against-victorian-government-over-hotel-quarantine-to-go-ahead/c5541fe6-8a2d-4583-845e-18521d8d6885" TargetMode="External"/><Relationship Id="rId155" Type="http://schemas.openxmlformats.org/officeDocument/2006/relationships/hyperlink" Target="https://www.allens.com.au/insights-news/insights/2021/11/class-actions-in-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1555</TotalTime>
  <Pages>85</Pages>
  <Words>31543</Words>
  <Characters>179797</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Izak Labuschagne</dc:creator>
  <cp:keywords/>
  <dc:description/>
  <cp:lastModifiedBy>Izak Labuschagne</cp:lastModifiedBy>
  <cp:revision>41</cp:revision>
  <dcterms:created xsi:type="dcterms:W3CDTF">2023-03-27T20:56:00Z</dcterms:created>
  <dcterms:modified xsi:type="dcterms:W3CDTF">2023-05-04T01:33:00Z</dcterms:modified>
</cp:coreProperties>
</file>